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15AB" w14:textId="77777777" w:rsidR="00B87974" w:rsidRPr="00387653" w:rsidRDefault="00B87974" w:rsidP="00B87974">
      <w:pPr>
        <w:pStyle w:val="NoSpacing"/>
        <w:jc w:val="center"/>
        <w:rPr>
          <w:rFonts w:cstheme="minorHAnsi"/>
        </w:rPr>
      </w:pPr>
      <w:r w:rsidRPr="00387653">
        <w:rPr>
          <w:rFonts w:cstheme="minorHAnsi"/>
        </w:rPr>
        <w:t>Meeting Minutes for the</w:t>
      </w:r>
    </w:p>
    <w:p w14:paraId="284D29B9" w14:textId="77777777" w:rsidR="00B87974" w:rsidRPr="00387653" w:rsidRDefault="00B87974" w:rsidP="00B87974">
      <w:pPr>
        <w:pStyle w:val="NoSpacing"/>
        <w:jc w:val="center"/>
        <w:rPr>
          <w:rFonts w:cstheme="minorHAnsi"/>
        </w:rPr>
      </w:pPr>
      <w:r w:rsidRPr="00387653">
        <w:rPr>
          <w:rFonts w:cstheme="minorHAnsi"/>
        </w:rPr>
        <w:t>State Interagency Coordinating Council</w:t>
      </w:r>
    </w:p>
    <w:p w14:paraId="33466790" w14:textId="2436C0FF" w:rsidR="00B87974" w:rsidRPr="00387653" w:rsidRDefault="00B87974" w:rsidP="00B87974">
      <w:pPr>
        <w:pStyle w:val="NoSpacing"/>
        <w:jc w:val="center"/>
        <w:rPr>
          <w:rFonts w:cstheme="minorHAnsi"/>
        </w:rPr>
      </w:pPr>
      <w:r w:rsidRPr="00387653">
        <w:rPr>
          <w:rFonts w:cstheme="minorHAnsi"/>
        </w:rPr>
        <w:t xml:space="preserve">January 18, </w:t>
      </w:r>
      <w:proofErr w:type="gramStart"/>
      <w:r w:rsidRPr="00387653">
        <w:rPr>
          <w:rFonts w:cstheme="minorHAnsi"/>
        </w:rPr>
        <w:t>2023</w:t>
      </w:r>
      <w:proofErr w:type="gramEnd"/>
      <w:r w:rsidRPr="00387653">
        <w:rPr>
          <w:rFonts w:cstheme="minorHAnsi"/>
        </w:rPr>
        <w:t xml:space="preserve"> 3:00pm </w:t>
      </w:r>
    </w:p>
    <w:p w14:paraId="6396B739" w14:textId="4F3D3379" w:rsidR="00B87974" w:rsidRPr="00387653" w:rsidRDefault="00E920F3" w:rsidP="00B87974">
      <w:pPr>
        <w:pStyle w:val="NoSpacing"/>
        <w:jc w:val="center"/>
        <w:rPr>
          <w:rFonts w:cstheme="minorHAnsi"/>
        </w:rPr>
      </w:pPr>
      <w:r w:rsidRPr="00387653">
        <w:rPr>
          <w:rFonts w:cstheme="minorHAnsi"/>
        </w:rPr>
        <w:t xml:space="preserve">Via </w:t>
      </w:r>
      <w:r w:rsidR="00B87974" w:rsidRPr="00387653">
        <w:rPr>
          <w:rFonts w:cstheme="minorHAnsi"/>
        </w:rPr>
        <w:t>ZOOM</w:t>
      </w:r>
    </w:p>
    <w:p w14:paraId="273AAA5A" w14:textId="77777777" w:rsidR="00B87974" w:rsidRPr="00387653" w:rsidRDefault="00B87974" w:rsidP="00B87974">
      <w:pPr>
        <w:pStyle w:val="NoSpacing"/>
        <w:rPr>
          <w:rFonts w:cstheme="minorHAnsi"/>
        </w:rPr>
      </w:pPr>
    </w:p>
    <w:p w14:paraId="10A6073B" w14:textId="77777777" w:rsidR="00B87974" w:rsidRPr="00387653" w:rsidRDefault="00B87974" w:rsidP="00B87974">
      <w:pPr>
        <w:pStyle w:val="NoSpacing"/>
        <w:rPr>
          <w:rFonts w:cstheme="minorHAnsi"/>
        </w:rPr>
      </w:pPr>
      <w:r w:rsidRPr="00387653">
        <w:rPr>
          <w:rFonts w:cstheme="minorHAnsi"/>
          <w:u w:val="single"/>
        </w:rPr>
        <w:t>Members Present</w:t>
      </w:r>
      <w:r w:rsidRPr="00387653">
        <w:rPr>
          <w:rFonts w:cstheme="minorHAnsi"/>
        </w:rPr>
        <w:t>:</w:t>
      </w:r>
    </w:p>
    <w:p w14:paraId="6F647CDB" w14:textId="77777777" w:rsidR="00B97A5D" w:rsidRPr="00387653" w:rsidRDefault="00B87974" w:rsidP="00B97A5D">
      <w:pPr>
        <w:pStyle w:val="NoSpacing"/>
        <w:rPr>
          <w:rFonts w:cstheme="minorHAnsi"/>
        </w:rPr>
      </w:pPr>
      <w:r w:rsidRPr="00387653">
        <w:rPr>
          <w:rFonts w:cstheme="minorHAnsi"/>
        </w:rPr>
        <w:t>Carla Miller</w:t>
      </w:r>
      <w:r w:rsidRPr="00387653">
        <w:rPr>
          <w:rFonts w:cstheme="minorHAnsi"/>
        </w:rPr>
        <w:tab/>
      </w:r>
      <w:r w:rsidRPr="00387653">
        <w:rPr>
          <w:rFonts w:cstheme="minorHAnsi"/>
        </w:rPr>
        <w:tab/>
      </w:r>
      <w:r w:rsidRPr="00387653">
        <w:rPr>
          <w:rFonts w:cstheme="minorHAnsi"/>
        </w:rPr>
        <w:tab/>
      </w:r>
      <w:r w:rsidRPr="00387653">
        <w:rPr>
          <w:rFonts w:cstheme="minorHAnsi"/>
        </w:rPr>
        <w:tab/>
      </w:r>
      <w:r w:rsidRPr="00387653">
        <w:rPr>
          <w:rFonts w:cstheme="minorHAnsi"/>
        </w:rPr>
        <w:tab/>
      </w:r>
      <w:r w:rsidRPr="00387653">
        <w:rPr>
          <w:rFonts w:cstheme="minorHAnsi"/>
        </w:rPr>
        <w:tab/>
      </w:r>
      <w:r w:rsidRPr="00387653">
        <w:rPr>
          <w:rFonts w:cstheme="minorHAnsi"/>
        </w:rPr>
        <w:tab/>
      </w:r>
      <w:r w:rsidR="00B97A5D" w:rsidRPr="00387653">
        <w:rPr>
          <w:rFonts w:cstheme="minorHAnsi"/>
        </w:rPr>
        <w:t>Kirsten Ducheneaux, PT</w:t>
      </w:r>
    </w:p>
    <w:p w14:paraId="31310D85" w14:textId="77777777" w:rsidR="00B97A5D" w:rsidRPr="00387653" w:rsidRDefault="00B87974" w:rsidP="00B97A5D">
      <w:pPr>
        <w:pStyle w:val="NoSpacing"/>
        <w:rPr>
          <w:rFonts w:cstheme="minorHAnsi"/>
        </w:rPr>
      </w:pPr>
      <w:r w:rsidRPr="00387653">
        <w:rPr>
          <w:rFonts w:cstheme="minorHAnsi"/>
        </w:rPr>
        <w:t>Carrie Churchill</w:t>
      </w:r>
      <w:r w:rsidRPr="00387653">
        <w:rPr>
          <w:rFonts w:cstheme="minorHAnsi"/>
        </w:rPr>
        <w:tab/>
      </w:r>
      <w:r w:rsidRPr="00387653">
        <w:rPr>
          <w:rFonts w:cstheme="minorHAnsi"/>
        </w:rPr>
        <w:tab/>
      </w:r>
      <w:r w:rsidRPr="00387653">
        <w:rPr>
          <w:rFonts w:cstheme="minorHAnsi"/>
        </w:rPr>
        <w:tab/>
      </w:r>
      <w:r w:rsidRPr="00387653">
        <w:rPr>
          <w:rFonts w:cstheme="minorHAnsi"/>
        </w:rPr>
        <w:tab/>
      </w:r>
      <w:r w:rsidRPr="00387653">
        <w:rPr>
          <w:rFonts w:cstheme="minorHAnsi"/>
        </w:rPr>
        <w:tab/>
      </w:r>
      <w:r w:rsidRPr="00387653">
        <w:rPr>
          <w:rFonts w:cstheme="minorHAnsi"/>
        </w:rPr>
        <w:tab/>
      </w:r>
      <w:r w:rsidR="00B97A5D" w:rsidRPr="00387653">
        <w:rPr>
          <w:rFonts w:cstheme="minorHAnsi"/>
        </w:rPr>
        <w:t>Melanie Lundquist (virtual)</w:t>
      </w:r>
    </w:p>
    <w:p w14:paraId="62378F43" w14:textId="77777777" w:rsidR="00F02338" w:rsidRPr="00387653" w:rsidRDefault="005F220B" w:rsidP="00F02338">
      <w:pPr>
        <w:pStyle w:val="NoSpacing"/>
        <w:rPr>
          <w:rFonts w:cstheme="minorHAnsi"/>
        </w:rPr>
      </w:pPr>
      <w:r w:rsidRPr="00387653">
        <w:rPr>
          <w:rFonts w:cstheme="minorHAnsi"/>
        </w:rPr>
        <w:t>Emily Quick</w:t>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F02338" w:rsidRPr="00387653">
        <w:rPr>
          <w:rFonts w:cstheme="minorHAnsi"/>
        </w:rPr>
        <w:t xml:space="preserve">Michelle Martin (virtual) </w:t>
      </w:r>
    </w:p>
    <w:p w14:paraId="6BC4AB76" w14:textId="77777777" w:rsidR="00F02338" w:rsidRPr="00387653" w:rsidRDefault="005F220B" w:rsidP="00F02338">
      <w:pPr>
        <w:pStyle w:val="NoSpacing"/>
        <w:rPr>
          <w:rFonts w:cstheme="minorHAnsi"/>
        </w:rPr>
      </w:pPr>
      <w:r w:rsidRPr="00387653">
        <w:rPr>
          <w:rFonts w:cstheme="minorHAnsi"/>
        </w:rPr>
        <w:t>Debra Willert</w:t>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F02338" w:rsidRPr="00387653">
        <w:rPr>
          <w:rFonts w:cstheme="minorHAnsi"/>
        </w:rPr>
        <w:tab/>
        <w:t>Senator Jessica Castleberry</w:t>
      </w:r>
    </w:p>
    <w:p w14:paraId="4D5512A8" w14:textId="77777777" w:rsidR="00BB264A" w:rsidRPr="00387653" w:rsidRDefault="005F220B" w:rsidP="00BB264A">
      <w:pPr>
        <w:pStyle w:val="NoSpacing"/>
        <w:rPr>
          <w:rFonts w:cstheme="minorHAnsi"/>
        </w:rPr>
      </w:pPr>
      <w:r w:rsidRPr="00387653">
        <w:rPr>
          <w:rFonts w:cstheme="minorHAnsi"/>
        </w:rPr>
        <w:t>Jodi Berscheid</w:t>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B264A" w:rsidRPr="00387653">
        <w:rPr>
          <w:rFonts w:cstheme="minorHAnsi"/>
        </w:rPr>
        <w:t>Valerie Kelly</w:t>
      </w:r>
    </w:p>
    <w:p w14:paraId="0C59524A" w14:textId="277E1AC5" w:rsidR="00BB264A" w:rsidRPr="00387653" w:rsidRDefault="00B97A5D" w:rsidP="00BB264A">
      <w:pPr>
        <w:pStyle w:val="NoSpacing"/>
        <w:rPr>
          <w:rFonts w:cstheme="minorHAnsi"/>
        </w:rPr>
      </w:pPr>
      <w:r w:rsidRPr="00387653">
        <w:rPr>
          <w:rFonts w:cstheme="minorHAnsi"/>
        </w:rPr>
        <w:t>Joe Hauge</w:t>
      </w:r>
      <w:r w:rsidR="00BB264A" w:rsidRPr="00387653">
        <w:rPr>
          <w:rFonts w:cstheme="minorHAnsi"/>
        </w:rPr>
        <w:t xml:space="preserve"> </w:t>
      </w:r>
      <w:r w:rsidR="00BB264A" w:rsidRPr="00387653">
        <w:rPr>
          <w:rFonts w:cstheme="minorHAnsi"/>
        </w:rPr>
        <w:tab/>
      </w:r>
      <w:r w:rsidR="00BB264A" w:rsidRPr="00387653">
        <w:rPr>
          <w:rFonts w:cstheme="minorHAnsi"/>
        </w:rPr>
        <w:tab/>
      </w:r>
      <w:r w:rsidR="00BB264A" w:rsidRPr="00387653">
        <w:rPr>
          <w:rFonts w:cstheme="minorHAnsi"/>
        </w:rPr>
        <w:tab/>
      </w:r>
      <w:r w:rsidR="00BB264A" w:rsidRPr="00387653">
        <w:rPr>
          <w:rFonts w:cstheme="minorHAnsi"/>
        </w:rPr>
        <w:tab/>
      </w:r>
      <w:r w:rsidR="00BB264A" w:rsidRPr="00387653">
        <w:rPr>
          <w:rFonts w:cstheme="minorHAnsi"/>
        </w:rPr>
        <w:tab/>
      </w:r>
      <w:r w:rsidR="00BB264A" w:rsidRPr="00387653">
        <w:rPr>
          <w:rFonts w:cstheme="minorHAnsi"/>
        </w:rPr>
        <w:tab/>
      </w:r>
      <w:r w:rsidR="00BB264A" w:rsidRPr="00387653">
        <w:rPr>
          <w:rFonts w:cstheme="minorHAnsi"/>
        </w:rPr>
        <w:tab/>
        <w:t>Rochelle Holloway</w:t>
      </w:r>
    </w:p>
    <w:p w14:paraId="1EE0D23F" w14:textId="0903AE23" w:rsidR="00B87974" w:rsidRPr="00387653" w:rsidRDefault="00B97A5D" w:rsidP="00B87974">
      <w:pPr>
        <w:pStyle w:val="NoSpacing"/>
        <w:rPr>
          <w:rFonts w:cstheme="minorHAnsi"/>
        </w:rPr>
      </w:pPr>
      <w:r w:rsidRPr="00387653">
        <w:rPr>
          <w:rFonts w:cstheme="minorHAnsi"/>
        </w:rPr>
        <w:t>JoLynn Bostrom</w:t>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B264A" w:rsidRPr="00387653">
        <w:rPr>
          <w:rFonts w:cstheme="minorHAnsi"/>
        </w:rPr>
        <w:t>Sarah Carter</w:t>
      </w:r>
    </w:p>
    <w:p w14:paraId="31EE6AD8" w14:textId="3EC0FA91" w:rsidR="00B87974" w:rsidRPr="00387653" w:rsidRDefault="00B97A5D" w:rsidP="00B87974">
      <w:pPr>
        <w:pStyle w:val="NoSpacing"/>
        <w:rPr>
          <w:rFonts w:cstheme="minorHAnsi"/>
        </w:rPr>
      </w:pPr>
      <w:r w:rsidRPr="00387653">
        <w:rPr>
          <w:rFonts w:cstheme="minorHAnsi"/>
        </w:rPr>
        <w:t>Katherine Schmidt</w:t>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r w:rsidR="00B87974" w:rsidRPr="00387653">
        <w:rPr>
          <w:rFonts w:cstheme="minorHAnsi"/>
        </w:rPr>
        <w:tab/>
      </w:r>
    </w:p>
    <w:p w14:paraId="22859D8A" w14:textId="1293BAC4" w:rsidR="00B87974" w:rsidRPr="00387653" w:rsidRDefault="00B87974" w:rsidP="00B87974">
      <w:pPr>
        <w:pStyle w:val="NoSpacing"/>
        <w:rPr>
          <w:rFonts w:cstheme="minorHAnsi"/>
        </w:rPr>
      </w:pPr>
      <w:r w:rsidRPr="00387653">
        <w:rPr>
          <w:rFonts w:cstheme="minorHAnsi"/>
        </w:rPr>
        <w:t xml:space="preserve"> </w:t>
      </w:r>
    </w:p>
    <w:p w14:paraId="29E58EB9" w14:textId="77777777" w:rsidR="00795E01" w:rsidRPr="00387653" w:rsidRDefault="00795E01" w:rsidP="00795E01">
      <w:pPr>
        <w:pStyle w:val="NoSpacing"/>
        <w:rPr>
          <w:rFonts w:cstheme="minorHAnsi"/>
        </w:rPr>
      </w:pPr>
      <w:r w:rsidRPr="00387653">
        <w:rPr>
          <w:rFonts w:cstheme="minorHAnsi"/>
          <w:u w:val="single"/>
        </w:rPr>
        <w:t>Members Absent</w:t>
      </w:r>
      <w:r w:rsidRPr="00387653">
        <w:rPr>
          <w:rFonts w:cstheme="minorHAnsi"/>
        </w:rPr>
        <w:t>:</w:t>
      </w:r>
    </w:p>
    <w:p w14:paraId="3516D059" w14:textId="4743A5A5" w:rsidR="00A575F8" w:rsidRPr="00387653" w:rsidRDefault="00A575F8" w:rsidP="00795E01">
      <w:pPr>
        <w:pStyle w:val="NoSpacing"/>
        <w:rPr>
          <w:rFonts w:cstheme="minorHAnsi"/>
        </w:rPr>
      </w:pPr>
      <w:r w:rsidRPr="00387653">
        <w:rPr>
          <w:rFonts w:cstheme="minorHAnsi"/>
        </w:rPr>
        <w:t>Cindy Fisher</w:t>
      </w:r>
      <w:r w:rsidRPr="00387653">
        <w:rPr>
          <w:rFonts w:cstheme="minorHAnsi"/>
        </w:rPr>
        <w:tab/>
      </w:r>
    </w:p>
    <w:p w14:paraId="66A129A5" w14:textId="2C758FB5" w:rsidR="00795E01" w:rsidRPr="00387653" w:rsidRDefault="00795E01" w:rsidP="00795E01">
      <w:pPr>
        <w:pStyle w:val="NoSpacing"/>
        <w:rPr>
          <w:rFonts w:cstheme="minorHAnsi"/>
        </w:rPr>
      </w:pPr>
      <w:r w:rsidRPr="00387653">
        <w:rPr>
          <w:rFonts w:cstheme="minorHAnsi"/>
        </w:rPr>
        <w:t>Cindy Michelson</w:t>
      </w:r>
    </w:p>
    <w:p w14:paraId="6EB0AC87" w14:textId="77777777" w:rsidR="005F220B" w:rsidRPr="00387653" w:rsidRDefault="005F220B" w:rsidP="00795E01">
      <w:pPr>
        <w:pStyle w:val="NoSpacing"/>
        <w:rPr>
          <w:rFonts w:cstheme="minorHAnsi"/>
        </w:rPr>
      </w:pPr>
      <w:r w:rsidRPr="00387653">
        <w:rPr>
          <w:rFonts w:cstheme="minorHAnsi"/>
        </w:rPr>
        <w:t>Gretchen Brodkorb</w:t>
      </w:r>
    </w:p>
    <w:p w14:paraId="4FC781FF" w14:textId="20C17731" w:rsidR="00795E01" w:rsidRPr="00387653" w:rsidRDefault="005F220B" w:rsidP="00795E01">
      <w:pPr>
        <w:pStyle w:val="NoSpacing"/>
        <w:rPr>
          <w:rFonts w:cstheme="minorHAnsi"/>
        </w:rPr>
      </w:pPr>
      <w:r w:rsidRPr="00387653">
        <w:rPr>
          <w:rFonts w:cstheme="minorHAnsi"/>
        </w:rPr>
        <w:t>Jaze Sollars</w:t>
      </w:r>
      <w:r w:rsidRPr="00387653">
        <w:rPr>
          <w:rFonts w:cstheme="minorHAnsi"/>
        </w:rPr>
        <w:tab/>
      </w:r>
    </w:p>
    <w:p w14:paraId="33D2F26C" w14:textId="5A6C2102" w:rsidR="00795E01" w:rsidRPr="00387653" w:rsidRDefault="00795E01" w:rsidP="00795E01">
      <w:pPr>
        <w:pStyle w:val="NoSpacing"/>
        <w:rPr>
          <w:rFonts w:cstheme="minorHAnsi"/>
        </w:rPr>
      </w:pPr>
      <w:r w:rsidRPr="00387653">
        <w:rPr>
          <w:rFonts w:cstheme="minorHAnsi"/>
        </w:rPr>
        <w:t>Carie Green</w:t>
      </w:r>
    </w:p>
    <w:p w14:paraId="583FDBC6" w14:textId="77777777" w:rsidR="00F02338" w:rsidRPr="00387653" w:rsidRDefault="00F02338" w:rsidP="00F02338">
      <w:pPr>
        <w:pStyle w:val="NoSpacing"/>
        <w:rPr>
          <w:rFonts w:cstheme="minorHAnsi"/>
        </w:rPr>
      </w:pPr>
      <w:r w:rsidRPr="00387653">
        <w:rPr>
          <w:rFonts w:cstheme="minorHAnsi"/>
        </w:rPr>
        <w:t>Laura Nordby</w:t>
      </w:r>
    </w:p>
    <w:p w14:paraId="013B3A7F" w14:textId="2D84EA34" w:rsidR="00F02338" w:rsidRPr="00387653" w:rsidRDefault="00F02338" w:rsidP="00795E01">
      <w:pPr>
        <w:pStyle w:val="NoSpacing"/>
        <w:rPr>
          <w:rFonts w:cstheme="minorHAnsi"/>
        </w:rPr>
      </w:pPr>
      <w:r w:rsidRPr="00387653">
        <w:rPr>
          <w:rFonts w:cstheme="minorHAnsi"/>
        </w:rPr>
        <w:t>Wendy Honeycutt, OT</w:t>
      </w:r>
    </w:p>
    <w:p w14:paraId="75A3DE5C" w14:textId="77777777" w:rsidR="00BB264A" w:rsidRPr="00387653" w:rsidRDefault="00BB264A" w:rsidP="00BB264A">
      <w:pPr>
        <w:pStyle w:val="NoSpacing"/>
        <w:rPr>
          <w:rFonts w:cstheme="minorHAnsi"/>
        </w:rPr>
      </w:pPr>
      <w:r w:rsidRPr="00387653">
        <w:rPr>
          <w:rFonts w:cstheme="minorHAnsi"/>
        </w:rPr>
        <w:t>Jordon Mounga (virtual)</w:t>
      </w:r>
    </w:p>
    <w:p w14:paraId="3DF16072" w14:textId="77777777" w:rsidR="00795E01" w:rsidRPr="00387653" w:rsidRDefault="00795E01" w:rsidP="00795E01">
      <w:pPr>
        <w:pStyle w:val="NoSpacing"/>
        <w:rPr>
          <w:rFonts w:cstheme="minorHAnsi"/>
        </w:rPr>
      </w:pPr>
    </w:p>
    <w:p w14:paraId="700DDC5D" w14:textId="77777777" w:rsidR="00795E01" w:rsidRPr="00387653" w:rsidRDefault="00795E01" w:rsidP="00795E01">
      <w:pPr>
        <w:pStyle w:val="NoSpacing"/>
        <w:rPr>
          <w:rFonts w:cstheme="minorHAnsi"/>
        </w:rPr>
      </w:pPr>
      <w:r w:rsidRPr="00387653">
        <w:rPr>
          <w:rFonts w:cstheme="minorHAnsi"/>
          <w:u w:val="single"/>
        </w:rPr>
        <w:t>Birth to Three Staff</w:t>
      </w:r>
      <w:r w:rsidRPr="00387653">
        <w:rPr>
          <w:rFonts w:cstheme="minorHAnsi"/>
        </w:rPr>
        <w:t>:</w:t>
      </w:r>
    </w:p>
    <w:p w14:paraId="5ECBCBA7" w14:textId="77777777" w:rsidR="00795E01" w:rsidRPr="00387653" w:rsidRDefault="00795E01" w:rsidP="00795E01">
      <w:pPr>
        <w:pStyle w:val="NoSpacing"/>
        <w:rPr>
          <w:rFonts w:cstheme="minorHAnsi"/>
        </w:rPr>
      </w:pPr>
      <w:r w:rsidRPr="00387653">
        <w:rPr>
          <w:rFonts w:cstheme="minorHAnsi"/>
        </w:rPr>
        <w:t>Sarah Carter, Director</w:t>
      </w:r>
    </w:p>
    <w:p w14:paraId="4B50A6D9" w14:textId="77777777" w:rsidR="00795E01" w:rsidRPr="00387653" w:rsidRDefault="00795E01" w:rsidP="00795E01">
      <w:pPr>
        <w:pStyle w:val="NoSpacing"/>
        <w:rPr>
          <w:rFonts w:cstheme="minorHAnsi"/>
        </w:rPr>
      </w:pPr>
      <w:r w:rsidRPr="00387653">
        <w:rPr>
          <w:rFonts w:cstheme="minorHAnsi"/>
        </w:rPr>
        <w:t xml:space="preserve">Crystal Goeden, Program Specialist </w:t>
      </w:r>
    </w:p>
    <w:p w14:paraId="701DC339" w14:textId="77777777" w:rsidR="00795E01" w:rsidRPr="00387653" w:rsidRDefault="00795E01" w:rsidP="00795E01">
      <w:pPr>
        <w:pStyle w:val="NoSpacing"/>
        <w:rPr>
          <w:rFonts w:cstheme="minorHAnsi"/>
        </w:rPr>
      </w:pPr>
      <w:r w:rsidRPr="00387653">
        <w:rPr>
          <w:rFonts w:cstheme="minorHAnsi"/>
        </w:rPr>
        <w:t>Steve Livermont, Program Specialist</w:t>
      </w:r>
    </w:p>
    <w:p w14:paraId="40D74D3B" w14:textId="77777777" w:rsidR="00795E01" w:rsidRPr="00387653" w:rsidRDefault="00795E01" w:rsidP="00795E01">
      <w:pPr>
        <w:pStyle w:val="NoSpacing"/>
        <w:rPr>
          <w:rFonts w:cstheme="minorHAnsi"/>
        </w:rPr>
      </w:pPr>
      <w:r w:rsidRPr="00387653">
        <w:rPr>
          <w:rFonts w:cstheme="minorHAnsi"/>
        </w:rPr>
        <w:t xml:space="preserve">Jen Kampmann, Program Specialist </w:t>
      </w:r>
    </w:p>
    <w:p w14:paraId="1EBA9D16" w14:textId="77777777" w:rsidR="00795E01" w:rsidRPr="00387653" w:rsidRDefault="00795E01" w:rsidP="00795E01">
      <w:pPr>
        <w:pStyle w:val="NoSpacing"/>
        <w:rPr>
          <w:rFonts w:cstheme="minorHAnsi"/>
        </w:rPr>
      </w:pPr>
      <w:r w:rsidRPr="00387653">
        <w:rPr>
          <w:rFonts w:cstheme="minorHAnsi"/>
        </w:rPr>
        <w:t xml:space="preserve">Daniel Krier, Program Specialist </w:t>
      </w:r>
    </w:p>
    <w:p w14:paraId="5DEB1F14" w14:textId="77777777" w:rsidR="00795E01" w:rsidRPr="00387653" w:rsidRDefault="00795E01" w:rsidP="00795E01">
      <w:pPr>
        <w:pStyle w:val="NoSpacing"/>
        <w:rPr>
          <w:rFonts w:cstheme="minorHAnsi"/>
        </w:rPr>
      </w:pPr>
    </w:p>
    <w:p w14:paraId="20141B5C" w14:textId="77777777" w:rsidR="00795E01" w:rsidRPr="00387653" w:rsidRDefault="00795E01" w:rsidP="00795E01">
      <w:pPr>
        <w:pStyle w:val="NoSpacing"/>
        <w:rPr>
          <w:rFonts w:cstheme="minorHAnsi"/>
        </w:rPr>
      </w:pPr>
      <w:r w:rsidRPr="00387653">
        <w:rPr>
          <w:rFonts w:cstheme="minorHAnsi"/>
          <w:u w:val="single"/>
        </w:rPr>
        <w:t>Public</w:t>
      </w:r>
      <w:r w:rsidRPr="00387653">
        <w:rPr>
          <w:rFonts w:cstheme="minorHAnsi"/>
        </w:rPr>
        <w:t>:</w:t>
      </w:r>
    </w:p>
    <w:p w14:paraId="5F512961" w14:textId="0DDD735D" w:rsidR="00A0430B" w:rsidRPr="00387653" w:rsidRDefault="00BB264A">
      <w:pPr>
        <w:rPr>
          <w:rFonts w:cstheme="minorHAnsi"/>
        </w:rPr>
      </w:pPr>
      <w:r w:rsidRPr="00387653">
        <w:rPr>
          <w:rFonts w:cstheme="minorHAnsi"/>
        </w:rPr>
        <w:t xml:space="preserve">No </w:t>
      </w:r>
      <w:r w:rsidR="007353E0" w:rsidRPr="00387653">
        <w:rPr>
          <w:rFonts w:cstheme="minorHAnsi"/>
        </w:rPr>
        <w:t xml:space="preserve">public were in attendance. </w:t>
      </w:r>
    </w:p>
    <w:p w14:paraId="17AAC7C5" w14:textId="77777777" w:rsidR="00A64EA0" w:rsidRPr="00387653" w:rsidRDefault="00A64EA0" w:rsidP="00A64EA0">
      <w:pPr>
        <w:pStyle w:val="NoSpacing"/>
        <w:rPr>
          <w:rFonts w:cstheme="minorHAnsi"/>
        </w:rPr>
      </w:pPr>
      <w:r w:rsidRPr="00387653">
        <w:rPr>
          <w:rFonts w:cstheme="minorHAnsi"/>
          <w:b/>
          <w:bCs/>
        </w:rPr>
        <w:t>Call to Order and Roll Call</w:t>
      </w:r>
    </w:p>
    <w:p w14:paraId="0DBE97AD" w14:textId="00E4BBF4" w:rsidR="00A64EA0" w:rsidRPr="00387653" w:rsidRDefault="000275FC" w:rsidP="00A64EA0">
      <w:pPr>
        <w:pStyle w:val="NoSpacing"/>
        <w:rPr>
          <w:rFonts w:cstheme="minorHAnsi"/>
        </w:rPr>
      </w:pPr>
      <w:r w:rsidRPr="00387653">
        <w:rPr>
          <w:rFonts w:cstheme="minorHAnsi"/>
        </w:rPr>
        <w:t>T</w:t>
      </w:r>
      <w:r w:rsidR="00A64EA0" w:rsidRPr="00387653">
        <w:rPr>
          <w:rFonts w:cstheme="minorHAnsi"/>
        </w:rPr>
        <w:t xml:space="preserve">he State Interagency Coordinating Council was called to order </w:t>
      </w:r>
      <w:r w:rsidRPr="00387653">
        <w:rPr>
          <w:rFonts w:cstheme="minorHAnsi"/>
        </w:rPr>
        <w:t>at 3:03pm Central Time</w:t>
      </w:r>
      <w:r w:rsidR="005703DA" w:rsidRPr="00387653">
        <w:rPr>
          <w:rFonts w:cstheme="minorHAnsi"/>
        </w:rPr>
        <w:t xml:space="preserve"> by SICC member Michelle Martin</w:t>
      </w:r>
      <w:r w:rsidR="00D222AC" w:rsidRPr="00387653">
        <w:rPr>
          <w:rFonts w:cstheme="minorHAnsi"/>
        </w:rPr>
        <w:t xml:space="preserve"> and roll call taken. </w:t>
      </w:r>
      <w:r w:rsidR="005703DA" w:rsidRPr="00387653">
        <w:rPr>
          <w:rFonts w:cstheme="minorHAnsi"/>
        </w:rPr>
        <w:t xml:space="preserve">Martin was asked to fill in for chairperson Rochelle Holloway due to a scheduling conflict.  </w:t>
      </w:r>
      <w:r w:rsidR="001E43FD">
        <w:rPr>
          <w:rFonts w:cstheme="minorHAnsi"/>
        </w:rPr>
        <w:t xml:space="preserve">Martin welcomed new SICC member Emily Quick.  Emily is replacing Dawn Smith as the </w:t>
      </w:r>
      <w:r w:rsidR="003C49E7">
        <w:rPr>
          <w:rFonts w:cstheme="minorHAnsi"/>
        </w:rPr>
        <w:t xml:space="preserve">McKinney-Vento representative.  </w:t>
      </w:r>
    </w:p>
    <w:p w14:paraId="12A6AC2F" w14:textId="2D5D47FC" w:rsidR="00D222AC" w:rsidRPr="00387653" w:rsidRDefault="00D222AC" w:rsidP="00A64EA0">
      <w:pPr>
        <w:pStyle w:val="NoSpacing"/>
        <w:rPr>
          <w:rFonts w:cstheme="minorHAnsi"/>
        </w:rPr>
      </w:pPr>
    </w:p>
    <w:p w14:paraId="72E4E19C" w14:textId="77777777" w:rsidR="008A126B" w:rsidRPr="00387653" w:rsidRDefault="008A126B" w:rsidP="008A126B">
      <w:pPr>
        <w:pStyle w:val="NoSpacing"/>
        <w:rPr>
          <w:rFonts w:cstheme="minorHAnsi"/>
        </w:rPr>
      </w:pPr>
      <w:r w:rsidRPr="00387653">
        <w:rPr>
          <w:rFonts w:cstheme="minorHAnsi"/>
          <w:b/>
          <w:bCs/>
        </w:rPr>
        <w:t>Adoption of Agenda</w:t>
      </w:r>
    </w:p>
    <w:p w14:paraId="51B01AE0" w14:textId="433243A1" w:rsidR="008A126B" w:rsidRPr="00387653" w:rsidRDefault="008A126B" w:rsidP="008A126B">
      <w:pPr>
        <w:pStyle w:val="NoSpacing"/>
        <w:rPr>
          <w:rFonts w:cstheme="minorHAnsi"/>
        </w:rPr>
      </w:pPr>
      <w:r w:rsidRPr="00387653">
        <w:rPr>
          <w:rFonts w:cstheme="minorHAnsi"/>
        </w:rPr>
        <w:t>Motion by Bostrom, second by Kelly to approve the January 18, 2023, agenda.  All voted in favor.  Motion carried.</w:t>
      </w:r>
    </w:p>
    <w:p w14:paraId="7A59561F" w14:textId="66148643" w:rsidR="00897402" w:rsidRPr="00387653" w:rsidRDefault="00897402" w:rsidP="008A126B">
      <w:pPr>
        <w:pStyle w:val="NoSpacing"/>
        <w:rPr>
          <w:rFonts w:cstheme="minorHAnsi"/>
        </w:rPr>
      </w:pPr>
    </w:p>
    <w:p w14:paraId="20F9CCDB" w14:textId="77777777" w:rsidR="000633B5" w:rsidRPr="00387653" w:rsidRDefault="000633B5" w:rsidP="000633B5">
      <w:pPr>
        <w:pStyle w:val="NoSpacing"/>
        <w:rPr>
          <w:rFonts w:cstheme="minorHAnsi"/>
        </w:rPr>
      </w:pPr>
      <w:r w:rsidRPr="00387653">
        <w:rPr>
          <w:rFonts w:cstheme="minorHAnsi"/>
          <w:b/>
          <w:bCs/>
        </w:rPr>
        <w:t>Approval of Minutes</w:t>
      </w:r>
    </w:p>
    <w:p w14:paraId="2A34BE7C" w14:textId="0174208B" w:rsidR="000633B5" w:rsidRPr="00387653" w:rsidRDefault="000633B5" w:rsidP="000633B5">
      <w:pPr>
        <w:pStyle w:val="NoSpacing"/>
        <w:rPr>
          <w:rFonts w:cstheme="minorHAnsi"/>
        </w:rPr>
      </w:pPr>
      <w:r w:rsidRPr="00387653">
        <w:rPr>
          <w:rFonts w:cstheme="minorHAnsi"/>
        </w:rPr>
        <w:t xml:space="preserve">Motion by Lundquist to approve the November 1, </w:t>
      </w:r>
      <w:proofErr w:type="gramStart"/>
      <w:r w:rsidR="003C49E7" w:rsidRPr="00387653">
        <w:rPr>
          <w:rFonts w:cstheme="minorHAnsi"/>
        </w:rPr>
        <w:t>2022,</w:t>
      </w:r>
      <w:r w:rsidR="001C3742">
        <w:rPr>
          <w:rFonts w:cstheme="minorHAnsi"/>
        </w:rPr>
        <w:t>wa</w:t>
      </w:r>
      <w:proofErr w:type="gramEnd"/>
      <w:r w:rsidRPr="00387653">
        <w:rPr>
          <w:rFonts w:cstheme="minorHAnsi"/>
        </w:rPr>
        <w:t xml:space="preserve"> minutes, second by Willert. All voted in favor.  Motion carried.</w:t>
      </w:r>
    </w:p>
    <w:p w14:paraId="1009BE0B" w14:textId="1476FB9E" w:rsidR="000633B5" w:rsidRPr="00387653" w:rsidRDefault="000633B5" w:rsidP="000633B5">
      <w:pPr>
        <w:pStyle w:val="NoSpacing"/>
        <w:rPr>
          <w:rFonts w:cstheme="minorHAnsi"/>
        </w:rPr>
      </w:pPr>
    </w:p>
    <w:p w14:paraId="0C8768BB" w14:textId="77777777" w:rsidR="0038517B" w:rsidRPr="00387653" w:rsidRDefault="0038517B" w:rsidP="0038517B">
      <w:pPr>
        <w:pStyle w:val="NoSpacing"/>
        <w:rPr>
          <w:rFonts w:cstheme="minorHAnsi"/>
        </w:rPr>
      </w:pPr>
      <w:r w:rsidRPr="00387653">
        <w:rPr>
          <w:rFonts w:cstheme="minorHAnsi"/>
          <w:b/>
          <w:bCs/>
        </w:rPr>
        <w:t>Public Comment</w:t>
      </w:r>
    </w:p>
    <w:p w14:paraId="41C97E7D" w14:textId="77777777" w:rsidR="0038517B" w:rsidRPr="00387653" w:rsidRDefault="0038517B" w:rsidP="0038517B">
      <w:pPr>
        <w:pStyle w:val="NoSpacing"/>
        <w:rPr>
          <w:rFonts w:cstheme="minorHAnsi"/>
        </w:rPr>
      </w:pPr>
      <w:r w:rsidRPr="00387653">
        <w:rPr>
          <w:rFonts w:cstheme="minorHAnsi"/>
        </w:rPr>
        <w:t>No public comment was offered.</w:t>
      </w:r>
    </w:p>
    <w:p w14:paraId="339F9798" w14:textId="56BBADDC" w:rsidR="0038517B" w:rsidRPr="00387653" w:rsidRDefault="0038517B" w:rsidP="000633B5">
      <w:pPr>
        <w:pStyle w:val="NoSpacing"/>
        <w:rPr>
          <w:rFonts w:cstheme="minorHAnsi"/>
        </w:rPr>
      </w:pPr>
    </w:p>
    <w:p w14:paraId="7909B579" w14:textId="20573FAE" w:rsidR="00212007" w:rsidRPr="00387653" w:rsidRDefault="00212007" w:rsidP="000633B5">
      <w:pPr>
        <w:pStyle w:val="NoSpacing"/>
        <w:rPr>
          <w:rFonts w:cstheme="minorHAnsi"/>
          <w:b/>
          <w:bCs/>
        </w:rPr>
      </w:pPr>
      <w:r w:rsidRPr="00387653">
        <w:rPr>
          <w:rFonts w:cstheme="minorHAnsi"/>
          <w:b/>
          <w:bCs/>
        </w:rPr>
        <w:t>SICC 2023 Chair Elect</w:t>
      </w:r>
    </w:p>
    <w:p w14:paraId="3C6F9D7E" w14:textId="62CE078E" w:rsidR="000633B5" w:rsidRDefault="00212007" w:rsidP="008A126B">
      <w:pPr>
        <w:pStyle w:val="NoSpacing"/>
        <w:rPr>
          <w:rFonts w:cstheme="minorHAnsi"/>
        </w:rPr>
      </w:pPr>
      <w:r w:rsidRPr="00387653">
        <w:rPr>
          <w:rFonts w:cstheme="minorHAnsi"/>
        </w:rPr>
        <w:t xml:space="preserve">Chairperson Holloway had acknowledged her willingness to serve as chair for the 2023 year.  </w:t>
      </w:r>
      <w:r w:rsidR="00AB54A9" w:rsidRPr="00387653">
        <w:rPr>
          <w:rFonts w:cstheme="minorHAnsi"/>
        </w:rPr>
        <w:t xml:space="preserve">Kelly motion to nominate Holloway as chairperson for the 2023 year, second Bostrom.  All voted in favor.  Motion carried.  </w:t>
      </w:r>
    </w:p>
    <w:p w14:paraId="1504CDB2" w14:textId="7453E9D9" w:rsidR="00AD6B70" w:rsidRDefault="00AD6B70" w:rsidP="008A126B">
      <w:pPr>
        <w:pStyle w:val="NoSpacing"/>
        <w:rPr>
          <w:rFonts w:cstheme="minorHAnsi"/>
        </w:rPr>
      </w:pPr>
    </w:p>
    <w:p w14:paraId="523F0EE9" w14:textId="582BDBD5" w:rsidR="00AD6B70" w:rsidRDefault="00AD6B70" w:rsidP="008A126B">
      <w:pPr>
        <w:pStyle w:val="NoSpacing"/>
        <w:rPr>
          <w:rFonts w:cstheme="minorHAnsi"/>
        </w:rPr>
      </w:pPr>
    </w:p>
    <w:p w14:paraId="259D5665" w14:textId="77777777" w:rsidR="00AD6B70" w:rsidRPr="00387653" w:rsidRDefault="00AD6B70" w:rsidP="008A126B">
      <w:pPr>
        <w:pStyle w:val="NoSpacing"/>
        <w:rPr>
          <w:rFonts w:cstheme="minorHAnsi"/>
        </w:rPr>
      </w:pPr>
    </w:p>
    <w:p w14:paraId="2159144A" w14:textId="57AF4D3D" w:rsidR="00F17EDA" w:rsidRPr="00387653" w:rsidRDefault="00F17EDA" w:rsidP="008A126B">
      <w:pPr>
        <w:pStyle w:val="NoSpacing"/>
        <w:rPr>
          <w:rFonts w:cstheme="minorHAnsi"/>
          <w:b/>
          <w:bCs/>
        </w:rPr>
      </w:pPr>
      <w:r w:rsidRPr="00387653">
        <w:rPr>
          <w:rFonts w:cstheme="minorHAnsi"/>
          <w:b/>
          <w:bCs/>
        </w:rPr>
        <w:t>SPP/APR Reporting Indicators</w:t>
      </w:r>
    </w:p>
    <w:p w14:paraId="6E9F5DF8" w14:textId="2532F02D" w:rsidR="008A126B" w:rsidRPr="00387653" w:rsidRDefault="00F17EDA" w:rsidP="00A64EA0">
      <w:pPr>
        <w:pStyle w:val="NoSpacing"/>
        <w:rPr>
          <w:rFonts w:cstheme="minorHAnsi"/>
        </w:rPr>
      </w:pPr>
      <w:r w:rsidRPr="00387653">
        <w:rPr>
          <w:rFonts w:cstheme="minorHAnsi"/>
        </w:rPr>
        <w:t xml:space="preserve">Sarah Carter </w:t>
      </w:r>
      <w:r w:rsidR="000A19B5" w:rsidRPr="00387653">
        <w:rPr>
          <w:rFonts w:cstheme="minorHAnsi"/>
        </w:rPr>
        <w:t xml:space="preserve">began by </w:t>
      </w:r>
      <w:r w:rsidR="00EC3F70" w:rsidRPr="00387653">
        <w:rPr>
          <w:rFonts w:cstheme="minorHAnsi"/>
        </w:rPr>
        <w:t xml:space="preserve">explaining the </w:t>
      </w:r>
      <w:r w:rsidR="000A19B5" w:rsidRPr="00387653">
        <w:rPr>
          <w:rFonts w:cstheme="minorHAnsi"/>
        </w:rPr>
        <w:t>FFY2021 State Performance Plan / Annual Performance Report</w:t>
      </w:r>
      <w:r w:rsidR="00EC3F70" w:rsidRPr="00387653">
        <w:rPr>
          <w:rFonts w:cstheme="minorHAnsi"/>
        </w:rPr>
        <w:t xml:space="preserve"> </w:t>
      </w:r>
      <w:r w:rsidR="00750A81" w:rsidRPr="00387653">
        <w:rPr>
          <w:rFonts w:cstheme="minorHAnsi"/>
        </w:rPr>
        <w:t xml:space="preserve">(SPP/APR) </w:t>
      </w:r>
      <w:r w:rsidR="00EC3F70" w:rsidRPr="00387653">
        <w:rPr>
          <w:rFonts w:cstheme="minorHAnsi"/>
        </w:rPr>
        <w:t xml:space="preserve">included </w:t>
      </w:r>
      <w:r w:rsidR="005D0F45" w:rsidRPr="00387653">
        <w:rPr>
          <w:rFonts w:cstheme="minorHAnsi"/>
        </w:rPr>
        <w:t xml:space="preserve">the </w:t>
      </w:r>
      <w:r w:rsidR="00EC3F70" w:rsidRPr="00387653">
        <w:rPr>
          <w:rFonts w:cstheme="minorHAnsi"/>
        </w:rPr>
        <w:t xml:space="preserve">performance dates </w:t>
      </w:r>
      <w:r w:rsidR="005D0F45" w:rsidRPr="00387653">
        <w:rPr>
          <w:rFonts w:cstheme="minorHAnsi"/>
        </w:rPr>
        <w:t xml:space="preserve">from </w:t>
      </w:r>
      <w:r w:rsidR="00B21F18" w:rsidRPr="00387653">
        <w:rPr>
          <w:rFonts w:cstheme="minorHAnsi"/>
        </w:rPr>
        <w:t>7/1/2021 through 6/30/2022.  She went on to present some common terms and definitions that would be covered during the presentation</w:t>
      </w:r>
      <w:r w:rsidR="00750A81" w:rsidRPr="00387653">
        <w:rPr>
          <w:rFonts w:cstheme="minorHAnsi"/>
        </w:rPr>
        <w:t xml:space="preserve"> including</w:t>
      </w:r>
      <w:r w:rsidR="007D7D95" w:rsidRPr="00387653">
        <w:rPr>
          <w:rFonts w:cstheme="minorHAnsi"/>
        </w:rPr>
        <w:t xml:space="preserve"> defining </w:t>
      </w:r>
      <w:r w:rsidR="00750A81" w:rsidRPr="00387653">
        <w:rPr>
          <w:rFonts w:cstheme="minorHAnsi"/>
        </w:rPr>
        <w:t xml:space="preserve">the eleven indicators that made up the full SPP/APR package. </w:t>
      </w:r>
      <w:r w:rsidR="007D7D95" w:rsidRPr="00387653">
        <w:rPr>
          <w:rFonts w:cstheme="minorHAnsi"/>
        </w:rPr>
        <w:t xml:space="preserve">Carter explained </w:t>
      </w:r>
      <w:r w:rsidR="002F1F96" w:rsidRPr="00387653">
        <w:rPr>
          <w:rFonts w:cstheme="minorHAnsi"/>
        </w:rPr>
        <w:t xml:space="preserve">the state has been busy analyzing the data and today’s report to the SICC represented </w:t>
      </w:r>
      <w:r w:rsidR="00E24EBE" w:rsidRPr="00387653">
        <w:rPr>
          <w:rFonts w:cstheme="minorHAnsi"/>
        </w:rPr>
        <w:t>the indicators that had not been covered during the November 2022 SICC meeting</w:t>
      </w:r>
      <w:r w:rsidR="00F600FB" w:rsidRPr="00387653">
        <w:rPr>
          <w:rFonts w:cstheme="minorHAnsi"/>
        </w:rPr>
        <w:t xml:space="preserve">.  The data presented during the November and January SICC meetings comprised </w:t>
      </w:r>
      <w:r w:rsidR="00B26156" w:rsidRPr="00387653">
        <w:rPr>
          <w:rFonts w:cstheme="minorHAnsi"/>
        </w:rPr>
        <w:t xml:space="preserve">what the state would report to the </w:t>
      </w:r>
      <w:r w:rsidR="002F1F96" w:rsidRPr="00387653">
        <w:rPr>
          <w:rFonts w:cstheme="minorHAnsi"/>
        </w:rPr>
        <w:t xml:space="preserve">federal Office of Special Education Programs (OSEP) February </w:t>
      </w:r>
      <w:r w:rsidR="00B26156" w:rsidRPr="00387653">
        <w:rPr>
          <w:rFonts w:cstheme="minorHAnsi"/>
        </w:rPr>
        <w:t>1</w:t>
      </w:r>
      <w:r w:rsidR="002F1F96" w:rsidRPr="00387653">
        <w:rPr>
          <w:rFonts w:cstheme="minorHAnsi"/>
        </w:rPr>
        <w:t xml:space="preserve">, 2023.  </w:t>
      </w:r>
    </w:p>
    <w:p w14:paraId="2E34A4D2" w14:textId="2B512D9B" w:rsidR="00B26156" w:rsidRPr="00387653" w:rsidRDefault="00B26156" w:rsidP="00A64EA0">
      <w:pPr>
        <w:pStyle w:val="NoSpacing"/>
        <w:rPr>
          <w:rFonts w:cstheme="minorHAnsi"/>
        </w:rPr>
      </w:pPr>
    </w:p>
    <w:p w14:paraId="644F4C2D" w14:textId="597B226C" w:rsidR="00767B69" w:rsidRPr="00387653" w:rsidRDefault="00767B69" w:rsidP="00A64EA0">
      <w:pPr>
        <w:pStyle w:val="NoSpacing"/>
        <w:rPr>
          <w:rFonts w:cstheme="minorHAnsi"/>
        </w:rPr>
      </w:pPr>
      <w:r w:rsidRPr="00387653">
        <w:rPr>
          <w:rFonts w:cstheme="minorHAnsi"/>
        </w:rPr>
        <w:t>The state’s presentation would consist of the</w:t>
      </w:r>
      <w:r w:rsidR="00CA3996" w:rsidRPr="00387653">
        <w:rPr>
          <w:rFonts w:cstheme="minorHAnsi"/>
        </w:rPr>
        <w:t xml:space="preserve"> indicator, the targets for the specific indicator and the state’s performance towards the target including if the state had met the targets and if there was slippage.  </w:t>
      </w:r>
      <w:r w:rsidR="001D341B" w:rsidRPr="00387653">
        <w:rPr>
          <w:rFonts w:cstheme="minorHAnsi"/>
        </w:rPr>
        <w:t>Information was presented on I</w:t>
      </w:r>
      <w:r w:rsidRPr="00387653">
        <w:rPr>
          <w:rFonts w:cstheme="minorHAnsi"/>
        </w:rPr>
        <w:t>nd</w:t>
      </w:r>
      <w:r w:rsidR="001D341B" w:rsidRPr="00387653">
        <w:rPr>
          <w:rFonts w:cstheme="minorHAnsi"/>
        </w:rPr>
        <w:t>i</w:t>
      </w:r>
      <w:r w:rsidRPr="00387653">
        <w:rPr>
          <w:rFonts w:cstheme="minorHAnsi"/>
        </w:rPr>
        <w:t>cators C1, C7 and C8 all of which are considered compliance indicators</w:t>
      </w:r>
      <w:r w:rsidR="001D341B" w:rsidRPr="00387653">
        <w:rPr>
          <w:rFonts w:cstheme="minorHAnsi"/>
        </w:rPr>
        <w:t xml:space="preserve">. Compliance indicator targets are set by OSEP at 100%.  </w:t>
      </w:r>
    </w:p>
    <w:p w14:paraId="63E4786D" w14:textId="77777777" w:rsidR="005A0A67" w:rsidRPr="00387653" w:rsidRDefault="005A0A67" w:rsidP="00A64EA0">
      <w:pPr>
        <w:pStyle w:val="NoSpacing"/>
        <w:rPr>
          <w:rFonts w:cstheme="minorHAnsi"/>
        </w:rPr>
      </w:pPr>
    </w:p>
    <w:p w14:paraId="136AC667" w14:textId="77777777" w:rsidR="00155B5E" w:rsidRPr="00387653" w:rsidRDefault="00E27426" w:rsidP="00A64EA0">
      <w:pPr>
        <w:pStyle w:val="NoSpacing"/>
        <w:rPr>
          <w:rFonts w:cstheme="minorHAnsi"/>
        </w:rPr>
      </w:pPr>
      <w:r w:rsidRPr="00387653">
        <w:rPr>
          <w:rFonts w:cstheme="minorHAnsi"/>
        </w:rPr>
        <w:t>Indicator C1: Timely Provision of Services</w:t>
      </w:r>
    </w:p>
    <w:tbl>
      <w:tblPr>
        <w:tblStyle w:val="TableGrid"/>
        <w:tblW w:w="10440" w:type="dxa"/>
        <w:tblInd w:w="-95" w:type="dxa"/>
        <w:tblLook w:val="04A0" w:firstRow="1" w:lastRow="0" w:firstColumn="1" w:lastColumn="0" w:noHBand="0" w:noVBand="1"/>
      </w:tblPr>
      <w:tblGrid>
        <w:gridCol w:w="2790"/>
        <w:gridCol w:w="2150"/>
        <w:gridCol w:w="1439"/>
        <w:gridCol w:w="1259"/>
        <w:gridCol w:w="1272"/>
        <w:gridCol w:w="1530"/>
      </w:tblGrid>
      <w:tr w:rsidR="008B5635" w:rsidRPr="00387653" w14:paraId="0CE15D2B" w14:textId="77777777" w:rsidTr="00387653">
        <w:tc>
          <w:tcPr>
            <w:tcW w:w="2790" w:type="dxa"/>
            <w:vAlign w:val="center"/>
          </w:tcPr>
          <w:p w14:paraId="13FA7D68" w14:textId="5B23F050" w:rsidR="008B5635" w:rsidRPr="00387653" w:rsidRDefault="008B5635" w:rsidP="00412FC1">
            <w:pPr>
              <w:pStyle w:val="NoSpacing"/>
              <w:rPr>
                <w:rFonts w:cstheme="minorHAnsi"/>
                <w:sz w:val="20"/>
                <w:szCs w:val="20"/>
              </w:rPr>
            </w:pPr>
            <w:r w:rsidRPr="00387653">
              <w:rPr>
                <w:rFonts w:cstheme="minorHAnsi"/>
                <w:sz w:val="20"/>
                <w:szCs w:val="20"/>
              </w:rPr>
              <w:t xml:space="preserve"> Number of I/T with IFSP who receive the EI services on their IFSP in a timely manner</w:t>
            </w:r>
          </w:p>
        </w:tc>
        <w:tc>
          <w:tcPr>
            <w:tcW w:w="2150" w:type="dxa"/>
            <w:vAlign w:val="center"/>
          </w:tcPr>
          <w:p w14:paraId="0BA9AB11" w14:textId="77777777" w:rsidR="008B5635" w:rsidRPr="00387653" w:rsidRDefault="008B5635" w:rsidP="00946AE8">
            <w:pPr>
              <w:pStyle w:val="NoSpacing"/>
              <w:jc w:val="center"/>
              <w:rPr>
                <w:rFonts w:cstheme="minorHAnsi"/>
                <w:sz w:val="20"/>
                <w:szCs w:val="20"/>
              </w:rPr>
            </w:pPr>
            <w:r w:rsidRPr="00387653">
              <w:rPr>
                <w:rFonts w:cstheme="minorHAnsi"/>
                <w:sz w:val="20"/>
                <w:szCs w:val="20"/>
              </w:rPr>
              <w:t>Total number of infants and toddlers on IFSP</w:t>
            </w:r>
          </w:p>
        </w:tc>
        <w:tc>
          <w:tcPr>
            <w:tcW w:w="1439" w:type="dxa"/>
            <w:vAlign w:val="center"/>
          </w:tcPr>
          <w:p w14:paraId="07146C11" w14:textId="77777777" w:rsidR="008B5635" w:rsidRPr="00387653" w:rsidRDefault="008B5635" w:rsidP="00946AE8">
            <w:pPr>
              <w:pStyle w:val="NoSpacing"/>
              <w:jc w:val="center"/>
              <w:rPr>
                <w:rFonts w:cstheme="minorHAnsi"/>
                <w:sz w:val="20"/>
                <w:szCs w:val="20"/>
              </w:rPr>
            </w:pPr>
            <w:r w:rsidRPr="00387653">
              <w:rPr>
                <w:rFonts w:cstheme="minorHAnsi"/>
                <w:sz w:val="20"/>
                <w:szCs w:val="20"/>
              </w:rPr>
              <w:t>FFY2020 Data</w:t>
            </w:r>
          </w:p>
        </w:tc>
        <w:tc>
          <w:tcPr>
            <w:tcW w:w="1259" w:type="dxa"/>
            <w:vAlign w:val="center"/>
          </w:tcPr>
          <w:p w14:paraId="35828731" w14:textId="77777777" w:rsidR="008B5635" w:rsidRPr="00387653" w:rsidRDefault="008B5635" w:rsidP="00946AE8">
            <w:pPr>
              <w:pStyle w:val="NoSpacing"/>
              <w:jc w:val="center"/>
              <w:rPr>
                <w:rFonts w:cstheme="minorHAnsi"/>
                <w:sz w:val="20"/>
                <w:szCs w:val="20"/>
              </w:rPr>
            </w:pPr>
            <w:r w:rsidRPr="00387653">
              <w:rPr>
                <w:rFonts w:cstheme="minorHAnsi"/>
                <w:sz w:val="20"/>
                <w:szCs w:val="20"/>
              </w:rPr>
              <w:t>FFY2021 Target</w:t>
            </w:r>
          </w:p>
        </w:tc>
        <w:tc>
          <w:tcPr>
            <w:tcW w:w="1272" w:type="dxa"/>
            <w:vAlign w:val="center"/>
          </w:tcPr>
          <w:p w14:paraId="6B89336C" w14:textId="77777777" w:rsidR="008B5635" w:rsidRPr="00387653" w:rsidRDefault="008B5635" w:rsidP="00946AE8">
            <w:pPr>
              <w:pStyle w:val="NoSpacing"/>
              <w:jc w:val="center"/>
              <w:rPr>
                <w:rFonts w:cstheme="minorHAnsi"/>
                <w:sz w:val="20"/>
                <w:szCs w:val="20"/>
              </w:rPr>
            </w:pPr>
            <w:r w:rsidRPr="00387653">
              <w:rPr>
                <w:rFonts w:cstheme="minorHAnsi"/>
                <w:sz w:val="20"/>
                <w:szCs w:val="20"/>
              </w:rPr>
              <w:t>FFY2021 Data</w:t>
            </w:r>
          </w:p>
        </w:tc>
        <w:tc>
          <w:tcPr>
            <w:tcW w:w="1530" w:type="dxa"/>
            <w:vAlign w:val="center"/>
          </w:tcPr>
          <w:p w14:paraId="0986A129" w14:textId="77777777" w:rsidR="008B5635" w:rsidRPr="00387653" w:rsidRDefault="008B5635" w:rsidP="00946AE8">
            <w:pPr>
              <w:pStyle w:val="NoSpacing"/>
              <w:jc w:val="center"/>
              <w:rPr>
                <w:rFonts w:cstheme="minorHAnsi"/>
                <w:sz w:val="20"/>
                <w:szCs w:val="20"/>
              </w:rPr>
            </w:pPr>
            <w:r w:rsidRPr="00387653">
              <w:rPr>
                <w:rFonts w:cstheme="minorHAnsi"/>
                <w:sz w:val="20"/>
                <w:szCs w:val="20"/>
              </w:rPr>
              <w:t>Status</w:t>
            </w:r>
          </w:p>
        </w:tc>
      </w:tr>
      <w:tr w:rsidR="008B5635" w:rsidRPr="00387653" w14:paraId="56A2BF33" w14:textId="77777777" w:rsidTr="00387653">
        <w:tc>
          <w:tcPr>
            <w:tcW w:w="2790" w:type="dxa"/>
            <w:vAlign w:val="center"/>
          </w:tcPr>
          <w:p w14:paraId="3CBFE1BC" w14:textId="1E58F7C1" w:rsidR="008B5635" w:rsidRPr="00387653" w:rsidRDefault="00B773F7" w:rsidP="00946AE8">
            <w:pPr>
              <w:pStyle w:val="NoSpacing"/>
              <w:jc w:val="center"/>
              <w:rPr>
                <w:rFonts w:cstheme="minorHAnsi"/>
                <w:sz w:val="20"/>
                <w:szCs w:val="20"/>
              </w:rPr>
            </w:pPr>
            <w:r w:rsidRPr="00387653">
              <w:rPr>
                <w:rFonts w:cstheme="minorHAnsi"/>
                <w:sz w:val="20"/>
                <w:szCs w:val="20"/>
              </w:rPr>
              <w:t>423</w:t>
            </w:r>
          </w:p>
        </w:tc>
        <w:tc>
          <w:tcPr>
            <w:tcW w:w="2150" w:type="dxa"/>
            <w:vAlign w:val="center"/>
          </w:tcPr>
          <w:p w14:paraId="2843BC18" w14:textId="090DF175" w:rsidR="008B5635" w:rsidRPr="00387653" w:rsidRDefault="00B773F7" w:rsidP="00946AE8">
            <w:pPr>
              <w:pStyle w:val="NoSpacing"/>
              <w:jc w:val="center"/>
              <w:rPr>
                <w:rFonts w:cstheme="minorHAnsi"/>
                <w:sz w:val="20"/>
                <w:szCs w:val="20"/>
              </w:rPr>
            </w:pPr>
            <w:r w:rsidRPr="00387653">
              <w:rPr>
                <w:rFonts w:cstheme="minorHAnsi"/>
                <w:sz w:val="20"/>
                <w:szCs w:val="20"/>
              </w:rPr>
              <w:t>463</w:t>
            </w:r>
          </w:p>
        </w:tc>
        <w:tc>
          <w:tcPr>
            <w:tcW w:w="1439" w:type="dxa"/>
            <w:vAlign w:val="center"/>
          </w:tcPr>
          <w:p w14:paraId="4993B38B" w14:textId="45ABDB38" w:rsidR="008B5635" w:rsidRPr="00387653" w:rsidRDefault="00B773F7" w:rsidP="00946AE8">
            <w:pPr>
              <w:pStyle w:val="NoSpacing"/>
              <w:jc w:val="center"/>
              <w:rPr>
                <w:rFonts w:cstheme="minorHAnsi"/>
                <w:sz w:val="20"/>
                <w:szCs w:val="20"/>
              </w:rPr>
            </w:pPr>
            <w:r w:rsidRPr="00387653">
              <w:rPr>
                <w:rFonts w:cstheme="minorHAnsi"/>
                <w:sz w:val="20"/>
                <w:szCs w:val="20"/>
              </w:rPr>
              <w:t>99.17%</w:t>
            </w:r>
          </w:p>
        </w:tc>
        <w:tc>
          <w:tcPr>
            <w:tcW w:w="1259" w:type="dxa"/>
            <w:vAlign w:val="center"/>
          </w:tcPr>
          <w:p w14:paraId="425BB8A2" w14:textId="53840203" w:rsidR="008B5635" w:rsidRPr="00387653" w:rsidRDefault="00B773F7" w:rsidP="00946AE8">
            <w:pPr>
              <w:pStyle w:val="NoSpacing"/>
              <w:jc w:val="center"/>
              <w:rPr>
                <w:rFonts w:cstheme="minorHAnsi"/>
                <w:sz w:val="20"/>
                <w:szCs w:val="20"/>
              </w:rPr>
            </w:pPr>
            <w:r w:rsidRPr="00387653">
              <w:rPr>
                <w:rFonts w:cstheme="minorHAnsi"/>
                <w:sz w:val="20"/>
                <w:szCs w:val="20"/>
              </w:rPr>
              <w:t>100%</w:t>
            </w:r>
          </w:p>
        </w:tc>
        <w:tc>
          <w:tcPr>
            <w:tcW w:w="1272" w:type="dxa"/>
            <w:vAlign w:val="center"/>
          </w:tcPr>
          <w:p w14:paraId="53C6F039" w14:textId="5B474D4C" w:rsidR="008B5635" w:rsidRPr="00387653" w:rsidRDefault="00B773F7" w:rsidP="00946AE8">
            <w:pPr>
              <w:pStyle w:val="NoSpacing"/>
              <w:jc w:val="center"/>
              <w:rPr>
                <w:rFonts w:cstheme="minorHAnsi"/>
                <w:sz w:val="20"/>
                <w:szCs w:val="20"/>
              </w:rPr>
            </w:pPr>
            <w:r w:rsidRPr="00387653">
              <w:rPr>
                <w:rFonts w:cstheme="minorHAnsi"/>
                <w:sz w:val="20"/>
                <w:szCs w:val="20"/>
              </w:rPr>
              <w:t>99.14</w:t>
            </w:r>
          </w:p>
        </w:tc>
        <w:tc>
          <w:tcPr>
            <w:tcW w:w="1530" w:type="dxa"/>
            <w:vAlign w:val="center"/>
          </w:tcPr>
          <w:p w14:paraId="11FA9E97" w14:textId="3AD3B959" w:rsidR="008B5635" w:rsidRPr="00387653" w:rsidRDefault="00B773F7" w:rsidP="00946AE8">
            <w:pPr>
              <w:pStyle w:val="NoSpacing"/>
              <w:jc w:val="center"/>
              <w:rPr>
                <w:rFonts w:cstheme="minorHAnsi"/>
                <w:sz w:val="20"/>
                <w:szCs w:val="20"/>
              </w:rPr>
            </w:pPr>
            <w:r w:rsidRPr="00387653">
              <w:rPr>
                <w:rFonts w:cstheme="minorHAnsi"/>
                <w:sz w:val="20"/>
                <w:szCs w:val="20"/>
              </w:rPr>
              <w:t xml:space="preserve">Did not meet </w:t>
            </w:r>
            <w:r w:rsidR="00AF1D82" w:rsidRPr="00387653">
              <w:rPr>
                <w:rFonts w:cstheme="minorHAnsi"/>
                <w:sz w:val="20"/>
                <w:szCs w:val="20"/>
              </w:rPr>
              <w:t>t</w:t>
            </w:r>
            <w:r w:rsidRPr="00387653">
              <w:rPr>
                <w:rFonts w:cstheme="minorHAnsi"/>
                <w:sz w:val="20"/>
                <w:szCs w:val="20"/>
              </w:rPr>
              <w:t>arget</w:t>
            </w:r>
          </w:p>
        </w:tc>
      </w:tr>
    </w:tbl>
    <w:p w14:paraId="1C5214F3" w14:textId="77777777" w:rsidR="008B5635" w:rsidRPr="00387653" w:rsidRDefault="008B5635" w:rsidP="00A64EA0">
      <w:pPr>
        <w:pStyle w:val="NoSpacing"/>
        <w:rPr>
          <w:rFonts w:cstheme="minorHAnsi"/>
        </w:rPr>
      </w:pPr>
    </w:p>
    <w:p w14:paraId="69D3E5EB" w14:textId="6445CC04" w:rsidR="00946AE8" w:rsidRPr="00387653" w:rsidRDefault="00946AE8" w:rsidP="00A64EA0">
      <w:pPr>
        <w:pStyle w:val="NoSpacing"/>
        <w:rPr>
          <w:rFonts w:cstheme="minorHAnsi"/>
        </w:rPr>
      </w:pPr>
      <w:r w:rsidRPr="00387653">
        <w:rPr>
          <w:rFonts w:cstheme="minorHAnsi"/>
        </w:rPr>
        <w:t>Indicator C7: 45-day Timeline</w:t>
      </w:r>
    </w:p>
    <w:tbl>
      <w:tblPr>
        <w:tblStyle w:val="TableGrid"/>
        <w:tblW w:w="10440" w:type="dxa"/>
        <w:tblInd w:w="-95" w:type="dxa"/>
        <w:tblLook w:val="04A0" w:firstRow="1" w:lastRow="0" w:firstColumn="1" w:lastColumn="0" w:noHBand="0" w:noVBand="1"/>
      </w:tblPr>
      <w:tblGrid>
        <w:gridCol w:w="2790"/>
        <w:gridCol w:w="2150"/>
        <w:gridCol w:w="1439"/>
        <w:gridCol w:w="1259"/>
        <w:gridCol w:w="1272"/>
        <w:gridCol w:w="1530"/>
      </w:tblGrid>
      <w:tr w:rsidR="00946AE8" w:rsidRPr="00387653" w14:paraId="32F57C0A" w14:textId="77777777" w:rsidTr="00387653">
        <w:tc>
          <w:tcPr>
            <w:tcW w:w="2790" w:type="dxa"/>
            <w:vAlign w:val="center"/>
          </w:tcPr>
          <w:p w14:paraId="2215F79E" w14:textId="77777777" w:rsidR="00412FC1" w:rsidRPr="00412FC1" w:rsidRDefault="00412FC1" w:rsidP="00412FC1">
            <w:pPr>
              <w:pStyle w:val="NoSpacing"/>
              <w:rPr>
                <w:rFonts w:cstheme="minorHAnsi"/>
                <w:sz w:val="20"/>
                <w:szCs w:val="20"/>
              </w:rPr>
            </w:pPr>
            <w:r w:rsidRPr="00412FC1">
              <w:rPr>
                <w:rFonts w:cstheme="minorHAnsi"/>
                <w:sz w:val="20"/>
                <w:szCs w:val="20"/>
              </w:rPr>
              <w:t xml:space="preserve">Number of eligible I/T with IFSP for whom an initial evaluation &amp; assessment &amp; an initial IFSP meeting was conducted within Part C’s </w:t>
            </w:r>
            <w:proofErr w:type="gramStart"/>
            <w:r w:rsidRPr="00412FC1">
              <w:rPr>
                <w:rFonts w:cstheme="minorHAnsi"/>
                <w:sz w:val="20"/>
                <w:szCs w:val="20"/>
              </w:rPr>
              <w:t>45 day</w:t>
            </w:r>
            <w:proofErr w:type="gramEnd"/>
            <w:r w:rsidRPr="00412FC1">
              <w:rPr>
                <w:rFonts w:cstheme="minorHAnsi"/>
                <w:sz w:val="20"/>
                <w:szCs w:val="20"/>
              </w:rPr>
              <w:t xml:space="preserve"> timeline</w:t>
            </w:r>
          </w:p>
          <w:p w14:paraId="0CAC3B01" w14:textId="477301B9" w:rsidR="00946AE8" w:rsidRPr="00387653" w:rsidRDefault="00946AE8" w:rsidP="00B60A65">
            <w:pPr>
              <w:pStyle w:val="NoSpacing"/>
              <w:jc w:val="center"/>
              <w:rPr>
                <w:rFonts w:cstheme="minorHAnsi"/>
                <w:sz w:val="20"/>
                <w:szCs w:val="20"/>
              </w:rPr>
            </w:pPr>
          </w:p>
        </w:tc>
        <w:tc>
          <w:tcPr>
            <w:tcW w:w="2150" w:type="dxa"/>
            <w:vAlign w:val="center"/>
          </w:tcPr>
          <w:p w14:paraId="46604F2B" w14:textId="30EE1154" w:rsidR="00946AE8" w:rsidRPr="00387653" w:rsidRDefault="006C79FE" w:rsidP="006C79FE">
            <w:pPr>
              <w:pStyle w:val="NoSpacing"/>
              <w:jc w:val="center"/>
              <w:rPr>
                <w:rFonts w:cstheme="minorHAnsi"/>
                <w:sz w:val="20"/>
                <w:szCs w:val="20"/>
              </w:rPr>
            </w:pPr>
            <w:r w:rsidRPr="006C79FE">
              <w:rPr>
                <w:rFonts w:cstheme="minorHAnsi"/>
                <w:sz w:val="20"/>
                <w:szCs w:val="20"/>
              </w:rPr>
              <w:t># eligible I/T evaluation &amp; assessed for whom an initial IFSP meeting was required to be conducted</w:t>
            </w:r>
          </w:p>
        </w:tc>
        <w:tc>
          <w:tcPr>
            <w:tcW w:w="1439" w:type="dxa"/>
            <w:vAlign w:val="center"/>
          </w:tcPr>
          <w:p w14:paraId="77C9FFDA" w14:textId="77777777" w:rsidR="00946AE8" w:rsidRPr="00387653" w:rsidRDefault="00946AE8" w:rsidP="00B60A65">
            <w:pPr>
              <w:pStyle w:val="NoSpacing"/>
              <w:jc w:val="center"/>
              <w:rPr>
                <w:rFonts w:cstheme="minorHAnsi"/>
                <w:sz w:val="20"/>
                <w:szCs w:val="20"/>
              </w:rPr>
            </w:pPr>
            <w:r w:rsidRPr="00387653">
              <w:rPr>
                <w:rFonts w:cstheme="minorHAnsi"/>
                <w:sz w:val="20"/>
                <w:szCs w:val="20"/>
              </w:rPr>
              <w:t>FFY2020 Data</w:t>
            </w:r>
          </w:p>
        </w:tc>
        <w:tc>
          <w:tcPr>
            <w:tcW w:w="1259" w:type="dxa"/>
            <w:vAlign w:val="center"/>
          </w:tcPr>
          <w:p w14:paraId="1B695020" w14:textId="77777777" w:rsidR="00946AE8" w:rsidRPr="00387653" w:rsidRDefault="00946AE8" w:rsidP="00B60A65">
            <w:pPr>
              <w:pStyle w:val="NoSpacing"/>
              <w:jc w:val="center"/>
              <w:rPr>
                <w:rFonts w:cstheme="minorHAnsi"/>
                <w:sz w:val="20"/>
                <w:szCs w:val="20"/>
              </w:rPr>
            </w:pPr>
            <w:r w:rsidRPr="00387653">
              <w:rPr>
                <w:rFonts w:cstheme="minorHAnsi"/>
                <w:sz w:val="20"/>
                <w:szCs w:val="20"/>
              </w:rPr>
              <w:t>FFY2021 Target</w:t>
            </w:r>
          </w:p>
        </w:tc>
        <w:tc>
          <w:tcPr>
            <w:tcW w:w="1272" w:type="dxa"/>
            <w:vAlign w:val="center"/>
          </w:tcPr>
          <w:p w14:paraId="32338DE7" w14:textId="77777777" w:rsidR="00946AE8" w:rsidRPr="00387653" w:rsidRDefault="00946AE8" w:rsidP="00B60A65">
            <w:pPr>
              <w:pStyle w:val="NoSpacing"/>
              <w:jc w:val="center"/>
              <w:rPr>
                <w:rFonts w:cstheme="minorHAnsi"/>
                <w:sz w:val="20"/>
                <w:szCs w:val="20"/>
              </w:rPr>
            </w:pPr>
            <w:r w:rsidRPr="00387653">
              <w:rPr>
                <w:rFonts w:cstheme="minorHAnsi"/>
                <w:sz w:val="20"/>
                <w:szCs w:val="20"/>
              </w:rPr>
              <w:t>FFY2021 Data</w:t>
            </w:r>
          </w:p>
        </w:tc>
        <w:tc>
          <w:tcPr>
            <w:tcW w:w="1530" w:type="dxa"/>
            <w:vAlign w:val="center"/>
          </w:tcPr>
          <w:p w14:paraId="7ED7AC2F" w14:textId="77777777" w:rsidR="00946AE8" w:rsidRPr="00387653" w:rsidRDefault="00946AE8" w:rsidP="00B60A65">
            <w:pPr>
              <w:pStyle w:val="NoSpacing"/>
              <w:jc w:val="center"/>
              <w:rPr>
                <w:rFonts w:cstheme="minorHAnsi"/>
                <w:sz w:val="20"/>
                <w:szCs w:val="20"/>
              </w:rPr>
            </w:pPr>
            <w:r w:rsidRPr="00387653">
              <w:rPr>
                <w:rFonts w:cstheme="minorHAnsi"/>
                <w:sz w:val="20"/>
                <w:szCs w:val="20"/>
              </w:rPr>
              <w:t>Status</w:t>
            </w:r>
          </w:p>
        </w:tc>
      </w:tr>
      <w:tr w:rsidR="00946AE8" w:rsidRPr="00387653" w14:paraId="2BC570DA" w14:textId="77777777" w:rsidTr="00387653">
        <w:trPr>
          <w:trHeight w:val="422"/>
        </w:trPr>
        <w:tc>
          <w:tcPr>
            <w:tcW w:w="2790" w:type="dxa"/>
            <w:vAlign w:val="center"/>
          </w:tcPr>
          <w:p w14:paraId="0EA453F1" w14:textId="14CAD30E" w:rsidR="00946AE8" w:rsidRPr="00387653" w:rsidRDefault="006C79FE" w:rsidP="00B60A65">
            <w:pPr>
              <w:pStyle w:val="NoSpacing"/>
              <w:jc w:val="center"/>
              <w:rPr>
                <w:rFonts w:cstheme="minorHAnsi"/>
                <w:sz w:val="20"/>
                <w:szCs w:val="20"/>
              </w:rPr>
            </w:pPr>
            <w:r w:rsidRPr="00387653">
              <w:rPr>
                <w:rFonts w:cstheme="minorHAnsi"/>
                <w:sz w:val="20"/>
                <w:szCs w:val="20"/>
              </w:rPr>
              <w:t>199</w:t>
            </w:r>
          </w:p>
        </w:tc>
        <w:tc>
          <w:tcPr>
            <w:tcW w:w="2150" w:type="dxa"/>
            <w:vAlign w:val="center"/>
          </w:tcPr>
          <w:p w14:paraId="513502E4" w14:textId="16D3FAA2" w:rsidR="00946AE8" w:rsidRPr="00387653" w:rsidRDefault="006C79FE" w:rsidP="00B60A65">
            <w:pPr>
              <w:pStyle w:val="NoSpacing"/>
              <w:jc w:val="center"/>
              <w:rPr>
                <w:rFonts w:cstheme="minorHAnsi"/>
                <w:sz w:val="20"/>
                <w:szCs w:val="20"/>
              </w:rPr>
            </w:pPr>
            <w:r w:rsidRPr="00387653">
              <w:rPr>
                <w:rFonts w:cstheme="minorHAnsi"/>
                <w:sz w:val="20"/>
                <w:szCs w:val="20"/>
              </w:rPr>
              <w:t>255</w:t>
            </w:r>
          </w:p>
        </w:tc>
        <w:tc>
          <w:tcPr>
            <w:tcW w:w="1439" w:type="dxa"/>
            <w:vAlign w:val="center"/>
          </w:tcPr>
          <w:p w14:paraId="79BCC376" w14:textId="3C164E27" w:rsidR="00946AE8" w:rsidRPr="00387653" w:rsidRDefault="006C79FE" w:rsidP="00B60A65">
            <w:pPr>
              <w:pStyle w:val="NoSpacing"/>
              <w:jc w:val="center"/>
              <w:rPr>
                <w:rFonts w:cstheme="minorHAnsi"/>
                <w:sz w:val="20"/>
                <w:szCs w:val="20"/>
              </w:rPr>
            </w:pPr>
            <w:r w:rsidRPr="00387653">
              <w:rPr>
                <w:rFonts w:cstheme="minorHAnsi"/>
                <w:sz w:val="20"/>
                <w:szCs w:val="20"/>
              </w:rPr>
              <w:t>92.07%</w:t>
            </w:r>
          </w:p>
        </w:tc>
        <w:tc>
          <w:tcPr>
            <w:tcW w:w="1259" w:type="dxa"/>
            <w:vAlign w:val="center"/>
          </w:tcPr>
          <w:p w14:paraId="59A36F84" w14:textId="5A74B87C" w:rsidR="00946AE8" w:rsidRPr="00387653" w:rsidRDefault="006C79FE" w:rsidP="00B60A65">
            <w:pPr>
              <w:pStyle w:val="NoSpacing"/>
              <w:jc w:val="center"/>
              <w:rPr>
                <w:rFonts w:cstheme="minorHAnsi"/>
                <w:sz w:val="20"/>
                <w:szCs w:val="20"/>
              </w:rPr>
            </w:pPr>
            <w:r w:rsidRPr="00387653">
              <w:rPr>
                <w:rFonts w:cstheme="minorHAnsi"/>
                <w:sz w:val="20"/>
                <w:szCs w:val="20"/>
              </w:rPr>
              <w:t>100%</w:t>
            </w:r>
          </w:p>
        </w:tc>
        <w:tc>
          <w:tcPr>
            <w:tcW w:w="1272" w:type="dxa"/>
            <w:vAlign w:val="center"/>
          </w:tcPr>
          <w:p w14:paraId="6DF9F949" w14:textId="472C9D00" w:rsidR="00946AE8" w:rsidRPr="00387653" w:rsidRDefault="006C79FE" w:rsidP="00B60A65">
            <w:pPr>
              <w:pStyle w:val="NoSpacing"/>
              <w:jc w:val="center"/>
              <w:rPr>
                <w:rFonts w:cstheme="minorHAnsi"/>
                <w:sz w:val="20"/>
                <w:szCs w:val="20"/>
              </w:rPr>
            </w:pPr>
            <w:r w:rsidRPr="00387653">
              <w:rPr>
                <w:rFonts w:cstheme="minorHAnsi"/>
                <w:sz w:val="20"/>
                <w:szCs w:val="20"/>
              </w:rPr>
              <w:t>100%</w:t>
            </w:r>
          </w:p>
        </w:tc>
        <w:tc>
          <w:tcPr>
            <w:tcW w:w="1530" w:type="dxa"/>
            <w:vAlign w:val="center"/>
          </w:tcPr>
          <w:p w14:paraId="29DD59A9" w14:textId="5C3AA9A8" w:rsidR="00946AE8" w:rsidRPr="00387653" w:rsidRDefault="006C79FE" w:rsidP="00B60A65">
            <w:pPr>
              <w:pStyle w:val="NoSpacing"/>
              <w:jc w:val="center"/>
              <w:rPr>
                <w:rFonts w:cstheme="minorHAnsi"/>
                <w:sz w:val="20"/>
                <w:szCs w:val="20"/>
              </w:rPr>
            </w:pPr>
            <w:r w:rsidRPr="00387653">
              <w:rPr>
                <w:rFonts w:cstheme="minorHAnsi"/>
                <w:sz w:val="20"/>
                <w:szCs w:val="20"/>
              </w:rPr>
              <w:t xml:space="preserve">Met </w:t>
            </w:r>
            <w:r w:rsidR="00AF1D82" w:rsidRPr="00387653">
              <w:rPr>
                <w:rFonts w:cstheme="minorHAnsi"/>
                <w:sz w:val="20"/>
                <w:szCs w:val="20"/>
              </w:rPr>
              <w:t>t</w:t>
            </w:r>
            <w:r w:rsidRPr="00387653">
              <w:rPr>
                <w:rFonts w:cstheme="minorHAnsi"/>
                <w:sz w:val="20"/>
                <w:szCs w:val="20"/>
              </w:rPr>
              <w:t>arget</w:t>
            </w:r>
          </w:p>
        </w:tc>
      </w:tr>
    </w:tbl>
    <w:p w14:paraId="02FF0695" w14:textId="6C671072" w:rsidR="00946AE8" w:rsidRPr="00387653" w:rsidRDefault="00946AE8" w:rsidP="00A64EA0">
      <w:pPr>
        <w:pStyle w:val="NoSpacing"/>
        <w:rPr>
          <w:rFonts w:cstheme="minorHAnsi"/>
        </w:rPr>
      </w:pPr>
    </w:p>
    <w:p w14:paraId="48EED50F" w14:textId="275BC1FD" w:rsidR="007D6E79" w:rsidRPr="00387653" w:rsidRDefault="007D6E79" w:rsidP="008F5B7E">
      <w:pPr>
        <w:pStyle w:val="NoSpacing"/>
        <w:rPr>
          <w:rFonts w:cstheme="minorHAnsi"/>
        </w:rPr>
      </w:pPr>
      <w:r w:rsidRPr="00387653">
        <w:rPr>
          <w:rFonts w:cstheme="minorHAnsi"/>
        </w:rPr>
        <w:t xml:space="preserve">Indicator C8: Transitions </w:t>
      </w:r>
    </w:p>
    <w:tbl>
      <w:tblPr>
        <w:tblStyle w:val="TableGrid"/>
        <w:tblW w:w="10350" w:type="dxa"/>
        <w:tblInd w:w="-95" w:type="dxa"/>
        <w:tblLook w:val="04A0" w:firstRow="1" w:lastRow="0" w:firstColumn="1" w:lastColumn="0" w:noHBand="0" w:noVBand="1"/>
      </w:tblPr>
      <w:tblGrid>
        <w:gridCol w:w="4950"/>
        <w:gridCol w:w="1440"/>
        <w:gridCol w:w="1260"/>
        <w:gridCol w:w="1260"/>
        <w:gridCol w:w="1440"/>
      </w:tblGrid>
      <w:tr w:rsidR="007D6E79" w:rsidRPr="00387653" w14:paraId="7B6629C9" w14:textId="77777777" w:rsidTr="00387653">
        <w:tc>
          <w:tcPr>
            <w:tcW w:w="4950" w:type="dxa"/>
          </w:tcPr>
          <w:p w14:paraId="628EC042" w14:textId="2E4BB799" w:rsidR="007D6E79" w:rsidRPr="00387653" w:rsidRDefault="001B7DF5" w:rsidP="00B60A65">
            <w:pPr>
              <w:pStyle w:val="NoSpacing"/>
              <w:rPr>
                <w:rFonts w:cstheme="minorHAnsi"/>
              </w:rPr>
            </w:pPr>
            <w:r w:rsidRPr="00387653">
              <w:rPr>
                <w:rFonts w:cstheme="minorHAnsi"/>
              </w:rPr>
              <w:t xml:space="preserve">The percentage of toddlers with disabilities exiting Part C with timely transition   </w:t>
            </w:r>
            <w:r w:rsidRPr="00387653">
              <w:rPr>
                <w:rFonts w:cstheme="minorHAnsi"/>
              </w:rPr>
              <w:br/>
              <w:t>planning for whom the Lead Agency has:</w:t>
            </w:r>
          </w:p>
        </w:tc>
        <w:tc>
          <w:tcPr>
            <w:tcW w:w="1440" w:type="dxa"/>
            <w:vAlign w:val="center"/>
          </w:tcPr>
          <w:p w14:paraId="197282FD" w14:textId="77777777" w:rsidR="007D6E79" w:rsidRPr="00387653" w:rsidRDefault="007D6E79" w:rsidP="00AF1D82">
            <w:pPr>
              <w:pStyle w:val="NoSpacing"/>
              <w:jc w:val="center"/>
              <w:rPr>
                <w:rFonts w:cstheme="minorHAnsi"/>
              </w:rPr>
            </w:pPr>
            <w:r w:rsidRPr="00387653">
              <w:rPr>
                <w:rFonts w:cstheme="minorHAnsi"/>
              </w:rPr>
              <w:t>FFY2020 Data</w:t>
            </w:r>
          </w:p>
        </w:tc>
        <w:tc>
          <w:tcPr>
            <w:tcW w:w="1260" w:type="dxa"/>
            <w:vAlign w:val="center"/>
          </w:tcPr>
          <w:p w14:paraId="5917E3AC" w14:textId="77777777" w:rsidR="007D6E79" w:rsidRPr="00387653" w:rsidRDefault="007D6E79" w:rsidP="00AF1D82">
            <w:pPr>
              <w:pStyle w:val="NoSpacing"/>
              <w:jc w:val="center"/>
              <w:rPr>
                <w:rFonts w:cstheme="minorHAnsi"/>
              </w:rPr>
            </w:pPr>
            <w:r w:rsidRPr="00387653">
              <w:rPr>
                <w:rFonts w:cstheme="minorHAnsi"/>
              </w:rPr>
              <w:t>FFY2021 Target</w:t>
            </w:r>
          </w:p>
        </w:tc>
        <w:tc>
          <w:tcPr>
            <w:tcW w:w="1260" w:type="dxa"/>
            <w:vAlign w:val="center"/>
          </w:tcPr>
          <w:p w14:paraId="04862D6E" w14:textId="77777777" w:rsidR="007D6E79" w:rsidRPr="00387653" w:rsidRDefault="007D6E79" w:rsidP="00AF1D82">
            <w:pPr>
              <w:pStyle w:val="NoSpacing"/>
              <w:jc w:val="center"/>
              <w:rPr>
                <w:rFonts w:cstheme="minorHAnsi"/>
              </w:rPr>
            </w:pPr>
            <w:r w:rsidRPr="00387653">
              <w:rPr>
                <w:rFonts w:cstheme="minorHAnsi"/>
              </w:rPr>
              <w:t>FFY2021 Data</w:t>
            </w:r>
          </w:p>
        </w:tc>
        <w:tc>
          <w:tcPr>
            <w:tcW w:w="1440" w:type="dxa"/>
            <w:vAlign w:val="center"/>
          </w:tcPr>
          <w:p w14:paraId="2A8996AD" w14:textId="77777777" w:rsidR="007D6E79" w:rsidRPr="00387653" w:rsidRDefault="007D6E79" w:rsidP="00AF1D82">
            <w:pPr>
              <w:pStyle w:val="NoSpacing"/>
              <w:jc w:val="center"/>
              <w:rPr>
                <w:rFonts w:cstheme="minorHAnsi"/>
              </w:rPr>
            </w:pPr>
            <w:r w:rsidRPr="00387653">
              <w:rPr>
                <w:rFonts w:cstheme="minorHAnsi"/>
              </w:rPr>
              <w:t>Status</w:t>
            </w:r>
          </w:p>
        </w:tc>
      </w:tr>
      <w:tr w:rsidR="007D6E79" w:rsidRPr="00387653" w14:paraId="2C961D5A" w14:textId="77777777" w:rsidTr="00387653">
        <w:tc>
          <w:tcPr>
            <w:tcW w:w="4950" w:type="dxa"/>
          </w:tcPr>
          <w:p w14:paraId="195DF40A" w14:textId="7639E1FB" w:rsidR="007D6E79" w:rsidRPr="00387653" w:rsidRDefault="00D67954" w:rsidP="00121EA5">
            <w:pPr>
              <w:pStyle w:val="NoSpacing"/>
              <w:rPr>
                <w:rFonts w:cstheme="minorHAnsi"/>
              </w:rPr>
            </w:pPr>
            <w:r w:rsidRPr="00D67954">
              <w:rPr>
                <w:rFonts w:cstheme="minorHAnsi"/>
              </w:rPr>
              <w:t>Number of children exiting Part C who have an IFSP with transition steps &amp; services</w:t>
            </w:r>
          </w:p>
        </w:tc>
        <w:tc>
          <w:tcPr>
            <w:tcW w:w="1440" w:type="dxa"/>
            <w:vAlign w:val="center"/>
          </w:tcPr>
          <w:p w14:paraId="4467EC63" w14:textId="603641CB" w:rsidR="007D6E79" w:rsidRPr="00387653" w:rsidRDefault="001B7DF5" w:rsidP="00AF1D82">
            <w:pPr>
              <w:pStyle w:val="NoSpacing"/>
              <w:jc w:val="center"/>
              <w:rPr>
                <w:rFonts w:cstheme="minorHAnsi"/>
              </w:rPr>
            </w:pPr>
            <w:r w:rsidRPr="00387653">
              <w:rPr>
                <w:rFonts w:cstheme="minorHAnsi"/>
              </w:rPr>
              <w:t>94.74%</w:t>
            </w:r>
          </w:p>
        </w:tc>
        <w:tc>
          <w:tcPr>
            <w:tcW w:w="1260" w:type="dxa"/>
            <w:vAlign w:val="center"/>
          </w:tcPr>
          <w:p w14:paraId="61E47A1D" w14:textId="4FD63B71" w:rsidR="007D6E79" w:rsidRPr="00387653" w:rsidRDefault="001B7DF5" w:rsidP="00AF1D82">
            <w:pPr>
              <w:pStyle w:val="NoSpacing"/>
              <w:jc w:val="center"/>
              <w:rPr>
                <w:rFonts w:cstheme="minorHAnsi"/>
              </w:rPr>
            </w:pPr>
            <w:r w:rsidRPr="00387653">
              <w:rPr>
                <w:rFonts w:cstheme="minorHAnsi"/>
              </w:rPr>
              <w:t>100%</w:t>
            </w:r>
          </w:p>
        </w:tc>
        <w:tc>
          <w:tcPr>
            <w:tcW w:w="1260" w:type="dxa"/>
            <w:vAlign w:val="center"/>
          </w:tcPr>
          <w:p w14:paraId="152D96CF" w14:textId="4C4849D3" w:rsidR="007D6E79" w:rsidRPr="00387653" w:rsidRDefault="001B7DF5" w:rsidP="00AF1D82">
            <w:pPr>
              <w:pStyle w:val="NoSpacing"/>
              <w:jc w:val="center"/>
              <w:rPr>
                <w:rFonts w:cstheme="minorHAnsi"/>
              </w:rPr>
            </w:pPr>
            <w:r w:rsidRPr="00387653">
              <w:rPr>
                <w:rFonts w:cstheme="minorHAnsi"/>
              </w:rPr>
              <w:t>99.40%</w:t>
            </w:r>
          </w:p>
        </w:tc>
        <w:tc>
          <w:tcPr>
            <w:tcW w:w="1440" w:type="dxa"/>
            <w:vAlign w:val="center"/>
          </w:tcPr>
          <w:p w14:paraId="10FF48BC" w14:textId="13490348" w:rsidR="007D6E79" w:rsidRPr="00387653" w:rsidRDefault="001B7DF5" w:rsidP="00AF1D82">
            <w:pPr>
              <w:pStyle w:val="NoSpacing"/>
              <w:jc w:val="center"/>
              <w:rPr>
                <w:rFonts w:cstheme="minorHAnsi"/>
              </w:rPr>
            </w:pPr>
            <w:r w:rsidRPr="00387653">
              <w:rPr>
                <w:rFonts w:cstheme="minorHAnsi"/>
              </w:rPr>
              <w:t xml:space="preserve">Did not meet </w:t>
            </w:r>
            <w:r w:rsidR="00AF1D82" w:rsidRPr="00387653">
              <w:rPr>
                <w:rFonts w:cstheme="minorHAnsi"/>
              </w:rPr>
              <w:t>t</w:t>
            </w:r>
            <w:r w:rsidRPr="00387653">
              <w:rPr>
                <w:rFonts w:cstheme="minorHAnsi"/>
              </w:rPr>
              <w:t>arget</w:t>
            </w:r>
          </w:p>
        </w:tc>
      </w:tr>
      <w:tr w:rsidR="007D6E79" w:rsidRPr="00387653" w14:paraId="3600D711" w14:textId="77777777" w:rsidTr="00387653">
        <w:tc>
          <w:tcPr>
            <w:tcW w:w="4950" w:type="dxa"/>
          </w:tcPr>
          <w:p w14:paraId="15F0E35C" w14:textId="0657FDD9" w:rsidR="007D6E79" w:rsidRPr="00387653" w:rsidRDefault="00121EA5" w:rsidP="00121EA5">
            <w:pPr>
              <w:pStyle w:val="NoSpacing"/>
              <w:rPr>
                <w:rFonts w:cstheme="minorHAnsi"/>
              </w:rPr>
            </w:pPr>
            <w:r w:rsidRPr="00121EA5">
              <w:rPr>
                <w:rFonts w:cstheme="minorHAnsi"/>
              </w:rPr>
              <w:t># toddlers exiting Part C notification to SEA and LEA occurred at least 90 days prior to child’s third birthday</w:t>
            </w:r>
          </w:p>
        </w:tc>
        <w:tc>
          <w:tcPr>
            <w:tcW w:w="1440" w:type="dxa"/>
            <w:vAlign w:val="center"/>
          </w:tcPr>
          <w:p w14:paraId="554EF5D8" w14:textId="3A52E667" w:rsidR="007D6E79" w:rsidRPr="00387653" w:rsidRDefault="00AF1D82" w:rsidP="00AF1D82">
            <w:pPr>
              <w:pStyle w:val="NoSpacing"/>
              <w:jc w:val="center"/>
              <w:rPr>
                <w:rFonts w:cstheme="minorHAnsi"/>
              </w:rPr>
            </w:pPr>
            <w:r w:rsidRPr="00387653">
              <w:rPr>
                <w:rFonts w:cstheme="minorHAnsi"/>
              </w:rPr>
              <w:t>100%</w:t>
            </w:r>
          </w:p>
        </w:tc>
        <w:tc>
          <w:tcPr>
            <w:tcW w:w="1260" w:type="dxa"/>
            <w:vAlign w:val="center"/>
          </w:tcPr>
          <w:p w14:paraId="513A4CDD" w14:textId="600A358F" w:rsidR="007D6E79" w:rsidRPr="00387653" w:rsidRDefault="001B7DF5" w:rsidP="00AF1D82">
            <w:pPr>
              <w:pStyle w:val="NoSpacing"/>
              <w:jc w:val="center"/>
              <w:rPr>
                <w:rFonts w:cstheme="minorHAnsi"/>
              </w:rPr>
            </w:pPr>
            <w:r w:rsidRPr="00387653">
              <w:rPr>
                <w:rFonts w:cstheme="minorHAnsi"/>
              </w:rPr>
              <w:t>100%</w:t>
            </w:r>
          </w:p>
        </w:tc>
        <w:tc>
          <w:tcPr>
            <w:tcW w:w="1260" w:type="dxa"/>
            <w:vAlign w:val="center"/>
          </w:tcPr>
          <w:p w14:paraId="44A39B9E" w14:textId="27C88F52" w:rsidR="007D6E79" w:rsidRPr="00387653" w:rsidRDefault="00AF1D82" w:rsidP="00AF1D82">
            <w:pPr>
              <w:pStyle w:val="NoSpacing"/>
              <w:jc w:val="center"/>
              <w:rPr>
                <w:rFonts w:cstheme="minorHAnsi"/>
              </w:rPr>
            </w:pPr>
            <w:r w:rsidRPr="00387653">
              <w:rPr>
                <w:rFonts w:cstheme="minorHAnsi"/>
              </w:rPr>
              <w:t>100%</w:t>
            </w:r>
          </w:p>
        </w:tc>
        <w:tc>
          <w:tcPr>
            <w:tcW w:w="1440" w:type="dxa"/>
            <w:vAlign w:val="center"/>
          </w:tcPr>
          <w:p w14:paraId="5395D45D" w14:textId="6F4B3DF0" w:rsidR="007D6E79" w:rsidRPr="00387653" w:rsidRDefault="00AF1D82" w:rsidP="00AF1D82">
            <w:pPr>
              <w:pStyle w:val="NoSpacing"/>
              <w:jc w:val="center"/>
              <w:rPr>
                <w:rFonts w:cstheme="minorHAnsi"/>
              </w:rPr>
            </w:pPr>
            <w:r w:rsidRPr="00387653">
              <w:rPr>
                <w:rFonts w:cstheme="minorHAnsi"/>
              </w:rPr>
              <w:t>Met target</w:t>
            </w:r>
          </w:p>
        </w:tc>
      </w:tr>
      <w:tr w:rsidR="007D6E79" w:rsidRPr="00387653" w14:paraId="014FB056" w14:textId="77777777" w:rsidTr="00387653">
        <w:tc>
          <w:tcPr>
            <w:tcW w:w="4950" w:type="dxa"/>
          </w:tcPr>
          <w:p w14:paraId="59477480" w14:textId="2A9F19AD" w:rsidR="007D6E79" w:rsidRPr="00387653" w:rsidRDefault="00121EA5" w:rsidP="00121EA5">
            <w:pPr>
              <w:pStyle w:val="NoSpacing"/>
              <w:rPr>
                <w:rFonts w:cstheme="minorHAnsi"/>
              </w:rPr>
            </w:pPr>
            <w:r w:rsidRPr="00121EA5">
              <w:rPr>
                <w:rFonts w:cstheme="minorHAnsi"/>
              </w:rPr>
              <w:t>Number of toddlers exiting Part C with transition conference at least 90 days but no more than 9 months prior to third birthday</w:t>
            </w:r>
          </w:p>
        </w:tc>
        <w:tc>
          <w:tcPr>
            <w:tcW w:w="1440" w:type="dxa"/>
            <w:vAlign w:val="center"/>
          </w:tcPr>
          <w:p w14:paraId="254D3DB9" w14:textId="4ACC68A4" w:rsidR="007D6E79" w:rsidRPr="00387653" w:rsidRDefault="00AF1D82" w:rsidP="00AF1D82">
            <w:pPr>
              <w:pStyle w:val="NoSpacing"/>
              <w:jc w:val="center"/>
              <w:rPr>
                <w:rFonts w:cstheme="minorHAnsi"/>
              </w:rPr>
            </w:pPr>
            <w:r w:rsidRPr="00387653">
              <w:rPr>
                <w:rFonts w:cstheme="minorHAnsi"/>
              </w:rPr>
              <w:t>94.74%</w:t>
            </w:r>
          </w:p>
        </w:tc>
        <w:tc>
          <w:tcPr>
            <w:tcW w:w="1260" w:type="dxa"/>
            <w:vAlign w:val="center"/>
          </w:tcPr>
          <w:p w14:paraId="1F45B947" w14:textId="60F8C4E1" w:rsidR="007D6E79" w:rsidRPr="00387653" w:rsidRDefault="001B7DF5" w:rsidP="00AF1D82">
            <w:pPr>
              <w:pStyle w:val="NoSpacing"/>
              <w:jc w:val="center"/>
              <w:rPr>
                <w:rFonts w:cstheme="minorHAnsi"/>
              </w:rPr>
            </w:pPr>
            <w:r w:rsidRPr="00387653">
              <w:rPr>
                <w:rFonts w:cstheme="minorHAnsi"/>
              </w:rPr>
              <w:t>100%</w:t>
            </w:r>
          </w:p>
        </w:tc>
        <w:tc>
          <w:tcPr>
            <w:tcW w:w="1260" w:type="dxa"/>
            <w:vAlign w:val="center"/>
          </w:tcPr>
          <w:p w14:paraId="50E18ED1" w14:textId="377F1FB5" w:rsidR="007D6E79" w:rsidRPr="00387653" w:rsidRDefault="00AF1D82" w:rsidP="00AF1D82">
            <w:pPr>
              <w:pStyle w:val="NoSpacing"/>
              <w:jc w:val="center"/>
              <w:rPr>
                <w:rFonts w:cstheme="minorHAnsi"/>
              </w:rPr>
            </w:pPr>
            <w:r w:rsidRPr="00387653">
              <w:rPr>
                <w:rFonts w:cstheme="minorHAnsi"/>
              </w:rPr>
              <w:t>99.40%</w:t>
            </w:r>
          </w:p>
        </w:tc>
        <w:tc>
          <w:tcPr>
            <w:tcW w:w="1440" w:type="dxa"/>
            <w:vAlign w:val="center"/>
          </w:tcPr>
          <w:p w14:paraId="7830C057" w14:textId="16525170" w:rsidR="007D6E79" w:rsidRPr="00387653" w:rsidRDefault="00AF1D82" w:rsidP="00AF1D82">
            <w:pPr>
              <w:pStyle w:val="NoSpacing"/>
              <w:jc w:val="center"/>
              <w:rPr>
                <w:rFonts w:cstheme="minorHAnsi"/>
              </w:rPr>
            </w:pPr>
            <w:r w:rsidRPr="00387653">
              <w:rPr>
                <w:rFonts w:cstheme="minorHAnsi"/>
              </w:rPr>
              <w:t>Did not meet target</w:t>
            </w:r>
          </w:p>
        </w:tc>
      </w:tr>
    </w:tbl>
    <w:p w14:paraId="578BF46D" w14:textId="77777777" w:rsidR="006A3C5C" w:rsidRPr="00387653" w:rsidRDefault="006A3C5C" w:rsidP="00A64EA0">
      <w:pPr>
        <w:pStyle w:val="NoSpacing"/>
        <w:rPr>
          <w:rFonts w:cstheme="minorHAnsi"/>
        </w:rPr>
      </w:pPr>
    </w:p>
    <w:p w14:paraId="44213FC3" w14:textId="77777777" w:rsidR="006A3C5C" w:rsidRPr="00387653" w:rsidRDefault="006A3C5C" w:rsidP="006A3C5C">
      <w:pPr>
        <w:pStyle w:val="NoSpacing"/>
        <w:rPr>
          <w:rFonts w:cstheme="minorHAnsi"/>
        </w:rPr>
      </w:pPr>
      <w:r w:rsidRPr="00387653">
        <w:rPr>
          <w:rFonts w:cstheme="minorHAnsi"/>
        </w:rPr>
        <w:lastRenderedPageBreak/>
        <w:t>State presented data related to results indicators.  These indicators have targets that were established by the SICC in November 2021 for the FFY2020 – FFY2025 reporting years.  The state’s performance is as follows:</w:t>
      </w:r>
    </w:p>
    <w:p w14:paraId="0DE8EDD3" w14:textId="4A97F049" w:rsidR="006A3C5C" w:rsidRPr="00387653" w:rsidRDefault="006A3C5C" w:rsidP="006A3C5C">
      <w:pPr>
        <w:pStyle w:val="NoSpacing"/>
        <w:rPr>
          <w:rFonts w:cstheme="minorHAnsi"/>
        </w:rPr>
      </w:pPr>
    </w:p>
    <w:p w14:paraId="64A39BFB" w14:textId="2F2CE293" w:rsidR="008F5B7E" w:rsidRPr="00387653" w:rsidRDefault="008F5B7E" w:rsidP="00A64EA0">
      <w:pPr>
        <w:pStyle w:val="NoSpacing"/>
        <w:rPr>
          <w:rFonts w:cstheme="minorHAnsi"/>
        </w:rPr>
      </w:pPr>
      <w:r w:rsidRPr="00387653">
        <w:rPr>
          <w:rFonts w:cstheme="minorHAnsi"/>
        </w:rPr>
        <w:t>Indicator C5: Child Find Birth to age 1</w:t>
      </w:r>
    </w:p>
    <w:tbl>
      <w:tblPr>
        <w:tblStyle w:val="TableGrid"/>
        <w:tblW w:w="10350" w:type="dxa"/>
        <w:tblInd w:w="-95" w:type="dxa"/>
        <w:tblLook w:val="04A0" w:firstRow="1" w:lastRow="0" w:firstColumn="1" w:lastColumn="0" w:noHBand="0" w:noVBand="1"/>
      </w:tblPr>
      <w:tblGrid>
        <w:gridCol w:w="3240"/>
        <w:gridCol w:w="1890"/>
        <w:gridCol w:w="1260"/>
        <w:gridCol w:w="1260"/>
        <w:gridCol w:w="1260"/>
        <w:gridCol w:w="1440"/>
      </w:tblGrid>
      <w:tr w:rsidR="008F5B7E" w:rsidRPr="00387653" w14:paraId="428D3832" w14:textId="77777777" w:rsidTr="00387653">
        <w:tc>
          <w:tcPr>
            <w:tcW w:w="3240" w:type="dxa"/>
            <w:vAlign w:val="center"/>
          </w:tcPr>
          <w:p w14:paraId="644C3AC8" w14:textId="2C4F5B9F" w:rsidR="006A3C5C" w:rsidRPr="006A3C5C" w:rsidRDefault="006A3C5C" w:rsidP="006A3C5C">
            <w:pPr>
              <w:pStyle w:val="NoSpacing"/>
              <w:jc w:val="center"/>
              <w:rPr>
                <w:rFonts w:cstheme="minorHAnsi"/>
                <w:sz w:val="20"/>
                <w:szCs w:val="20"/>
              </w:rPr>
            </w:pPr>
            <w:r w:rsidRPr="006A3C5C">
              <w:rPr>
                <w:rFonts w:cstheme="minorHAnsi"/>
                <w:sz w:val="20"/>
                <w:szCs w:val="20"/>
              </w:rPr>
              <w:t># of I/T birth to 1 with IFSPs</w:t>
            </w:r>
          </w:p>
          <w:p w14:paraId="696FE01D" w14:textId="3D363997" w:rsidR="008F5B7E" w:rsidRPr="00387653" w:rsidRDefault="008F5B7E" w:rsidP="006A3C5C">
            <w:pPr>
              <w:pStyle w:val="NoSpacing"/>
              <w:jc w:val="center"/>
              <w:rPr>
                <w:rFonts w:cstheme="minorHAnsi"/>
                <w:sz w:val="20"/>
                <w:szCs w:val="20"/>
              </w:rPr>
            </w:pPr>
          </w:p>
        </w:tc>
        <w:tc>
          <w:tcPr>
            <w:tcW w:w="1890" w:type="dxa"/>
            <w:vAlign w:val="center"/>
          </w:tcPr>
          <w:p w14:paraId="5F56A13A" w14:textId="77777777" w:rsidR="006A3C5C" w:rsidRPr="006A3C5C" w:rsidRDefault="006A3C5C" w:rsidP="006A3C5C">
            <w:pPr>
              <w:pStyle w:val="NoSpacing"/>
              <w:jc w:val="center"/>
              <w:rPr>
                <w:rFonts w:cstheme="minorHAnsi"/>
                <w:sz w:val="20"/>
                <w:szCs w:val="20"/>
              </w:rPr>
            </w:pPr>
            <w:r w:rsidRPr="006A3C5C">
              <w:rPr>
                <w:rFonts w:cstheme="minorHAnsi"/>
                <w:sz w:val="20"/>
                <w:szCs w:val="20"/>
              </w:rPr>
              <w:t>SD population of I/T birth to 1</w:t>
            </w:r>
          </w:p>
          <w:p w14:paraId="03F5A662" w14:textId="56FDBD5E" w:rsidR="008F5B7E" w:rsidRPr="00387653" w:rsidRDefault="008F5B7E" w:rsidP="006A3C5C">
            <w:pPr>
              <w:pStyle w:val="NoSpacing"/>
              <w:jc w:val="center"/>
              <w:rPr>
                <w:rFonts w:cstheme="minorHAnsi"/>
                <w:sz w:val="20"/>
                <w:szCs w:val="20"/>
              </w:rPr>
            </w:pPr>
          </w:p>
        </w:tc>
        <w:tc>
          <w:tcPr>
            <w:tcW w:w="1260" w:type="dxa"/>
            <w:vAlign w:val="center"/>
          </w:tcPr>
          <w:p w14:paraId="01FCBC05" w14:textId="77777777" w:rsidR="008F5B7E" w:rsidRPr="00387653" w:rsidRDefault="008F5B7E" w:rsidP="00B60A65">
            <w:pPr>
              <w:pStyle w:val="NoSpacing"/>
              <w:jc w:val="center"/>
              <w:rPr>
                <w:rFonts w:cstheme="minorHAnsi"/>
                <w:sz w:val="20"/>
                <w:szCs w:val="20"/>
              </w:rPr>
            </w:pPr>
            <w:r w:rsidRPr="00387653">
              <w:rPr>
                <w:rFonts w:cstheme="minorHAnsi"/>
                <w:sz w:val="20"/>
                <w:szCs w:val="20"/>
              </w:rPr>
              <w:t>FFY2020 Data</w:t>
            </w:r>
          </w:p>
        </w:tc>
        <w:tc>
          <w:tcPr>
            <w:tcW w:w="1260" w:type="dxa"/>
            <w:vAlign w:val="center"/>
          </w:tcPr>
          <w:p w14:paraId="57C5CB0E" w14:textId="77777777" w:rsidR="008F5B7E" w:rsidRPr="00387653" w:rsidRDefault="008F5B7E" w:rsidP="00B60A65">
            <w:pPr>
              <w:pStyle w:val="NoSpacing"/>
              <w:jc w:val="center"/>
              <w:rPr>
                <w:rFonts w:cstheme="minorHAnsi"/>
                <w:sz w:val="20"/>
                <w:szCs w:val="20"/>
              </w:rPr>
            </w:pPr>
            <w:r w:rsidRPr="00387653">
              <w:rPr>
                <w:rFonts w:cstheme="minorHAnsi"/>
                <w:sz w:val="20"/>
                <w:szCs w:val="20"/>
              </w:rPr>
              <w:t>FFY2021 Target</w:t>
            </w:r>
          </w:p>
        </w:tc>
        <w:tc>
          <w:tcPr>
            <w:tcW w:w="1260" w:type="dxa"/>
            <w:vAlign w:val="center"/>
          </w:tcPr>
          <w:p w14:paraId="5A0BBD9D" w14:textId="77777777" w:rsidR="008F5B7E" w:rsidRPr="00387653" w:rsidRDefault="008F5B7E" w:rsidP="00B60A65">
            <w:pPr>
              <w:pStyle w:val="NoSpacing"/>
              <w:jc w:val="center"/>
              <w:rPr>
                <w:rFonts w:cstheme="minorHAnsi"/>
                <w:sz w:val="20"/>
                <w:szCs w:val="20"/>
              </w:rPr>
            </w:pPr>
            <w:r w:rsidRPr="00387653">
              <w:rPr>
                <w:rFonts w:cstheme="minorHAnsi"/>
                <w:sz w:val="20"/>
                <w:szCs w:val="20"/>
              </w:rPr>
              <w:t>FFY2021 Data</w:t>
            </w:r>
          </w:p>
        </w:tc>
        <w:tc>
          <w:tcPr>
            <w:tcW w:w="1440" w:type="dxa"/>
            <w:vAlign w:val="center"/>
          </w:tcPr>
          <w:p w14:paraId="0F76259A" w14:textId="77777777" w:rsidR="008F5B7E" w:rsidRPr="00387653" w:rsidRDefault="008F5B7E" w:rsidP="00B60A65">
            <w:pPr>
              <w:pStyle w:val="NoSpacing"/>
              <w:jc w:val="center"/>
              <w:rPr>
                <w:rFonts w:cstheme="minorHAnsi"/>
                <w:sz w:val="20"/>
                <w:szCs w:val="20"/>
              </w:rPr>
            </w:pPr>
            <w:r w:rsidRPr="00387653">
              <w:rPr>
                <w:rFonts w:cstheme="minorHAnsi"/>
                <w:sz w:val="20"/>
                <w:szCs w:val="20"/>
              </w:rPr>
              <w:t>Status</w:t>
            </w:r>
          </w:p>
        </w:tc>
      </w:tr>
      <w:tr w:rsidR="008F5B7E" w:rsidRPr="00387653" w14:paraId="04C01B80" w14:textId="77777777" w:rsidTr="00387653">
        <w:trPr>
          <w:trHeight w:val="485"/>
        </w:trPr>
        <w:tc>
          <w:tcPr>
            <w:tcW w:w="3240" w:type="dxa"/>
            <w:vAlign w:val="center"/>
          </w:tcPr>
          <w:p w14:paraId="3EB1B94B" w14:textId="33A87048" w:rsidR="008F5B7E" w:rsidRPr="00387653" w:rsidRDefault="006A3C5C" w:rsidP="00B60A65">
            <w:pPr>
              <w:pStyle w:val="NoSpacing"/>
              <w:jc w:val="center"/>
              <w:rPr>
                <w:rFonts w:cstheme="minorHAnsi"/>
                <w:sz w:val="20"/>
                <w:szCs w:val="20"/>
              </w:rPr>
            </w:pPr>
            <w:r w:rsidRPr="00387653">
              <w:rPr>
                <w:rFonts w:cstheme="minorHAnsi"/>
                <w:sz w:val="20"/>
                <w:szCs w:val="20"/>
              </w:rPr>
              <w:t>135</w:t>
            </w:r>
          </w:p>
        </w:tc>
        <w:tc>
          <w:tcPr>
            <w:tcW w:w="1890" w:type="dxa"/>
            <w:vAlign w:val="center"/>
          </w:tcPr>
          <w:p w14:paraId="431E5800" w14:textId="07D25050" w:rsidR="008F5B7E" w:rsidRPr="00387653" w:rsidRDefault="006A3C5C" w:rsidP="00B60A65">
            <w:pPr>
              <w:pStyle w:val="NoSpacing"/>
              <w:jc w:val="center"/>
              <w:rPr>
                <w:rFonts w:cstheme="minorHAnsi"/>
                <w:sz w:val="20"/>
                <w:szCs w:val="20"/>
              </w:rPr>
            </w:pPr>
            <w:r w:rsidRPr="00387653">
              <w:rPr>
                <w:rFonts w:cstheme="minorHAnsi"/>
                <w:sz w:val="20"/>
                <w:szCs w:val="20"/>
              </w:rPr>
              <w:t>10,917</w:t>
            </w:r>
          </w:p>
        </w:tc>
        <w:tc>
          <w:tcPr>
            <w:tcW w:w="1260" w:type="dxa"/>
            <w:vAlign w:val="center"/>
          </w:tcPr>
          <w:p w14:paraId="7E22C519" w14:textId="50C59BED" w:rsidR="008F5B7E" w:rsidRPr="00387653" w:rsidRDefault="006A3C5C" w:rsidP="00B60A65">
            <w:pPr>
              <w:pStyle w:val="NoSpacing"/>
              <w:jc w:val="center"/>
              <w:rPr>
                <w:rFonts w:cstheme="minorHAnsi"/>
                <w:sz w:val="20"/>
                <w:szCs w:val="20"/>
              </w:rPr>
            </w:pPr>
            <w:r w:rsidRPr="00387653">
              <w:rPr>
                <w:rFonts w:cstheme="minorHAnsi"/>
                <w:sz w:val="20"/>
                <w:szCs w:val="20"/>
              </w:rPr>
              <w:t>0.97%</w:t>
            </w:r>
          </w:p>
        </w:tc>
        <w:tc>
          <w:tcPr>
            <w:tcW w:w="1260" w:type="dxa"/>
            <w:vAlign w:val="center"/>
          </w:tcPr>
          <w:p w14:paraId="16F04CC4" w14:textId="05FD7951" w:rsidR="008F5B7E" w:rsidRPr="00387653" w:rsidRDefault="006A3C5C" w:rsidP="00B60A65">
            <w:pPr>
              <w:pStyle w:val="NoSpacing"/>
              <w:jc w:val="center"/>
              <w:rPr>
                <w:rFonts w:cstheme="minorHAnsi"/>
                <w:sz w:val="20"/>
                <w:szCs w:val="20"/>
              </w:rPr>
            </w:pPr>
            <w:r w:rsidRPr="00387653">
              <w:rPr>
                <w:rFonts w:cstheme="minorHAnsi"/>
                <w:sz w:val="20"/>
                <w:szCs w:val="20"/>
              </w:rPr>
              <w:t>0.88%</w:t>
            </w:r>
          </w:p>
        </w:tc>
        <w:tc>
          <w:tcPr>
            <w:tcW w:w="1260" w:type="dxa"/>
            <w:vAlign w:val="center"/>
          </w:tcPr>
          <w:p w14:paraId="1BBDB846" w14:textId="07F38A6D" w:rsidR="008F5B7E" w:rsidRPr="00387653" w:rsidRDefault="006A3C5C" w:rsidP="00B60A65">
            <w:pPr>
              <w:pStyle w:val="NoSpacing"/>
              <w:jc w:val="center"/>
              <w:rPr>
                <w:rFonts w:cstheme="minorHAnsi"/>
                <w:sz w:val="20"/>
                <w:szCs w:val="20"/>
              </w:rPr>
            </w:pPr>
            <w:r w:rsidRPr="00387653">
              <w:rPr>
                <w:rFonts w:cstheme="minorHAnsi"/>
                <w:sz w:val="20"/>
                <w:szCs w:val="20"/>
              </w:rPr>
              <w:t>1.24%</w:t>
            </w:r>
          </w:p>
        </w:tc>
        <w:tc>
          <w:tcPr>
            <w:tcW w:w="1440" w:type="dxa"/>
            <w:vAlign w:val="center"/>
          </w:tcPr>
          <w:p w14:paraId="58530A54" w14:textId="67DD044C" w:rsidR="008F5B7E" w:rsidRPr="00387653" w:rsidRDefault="006A3C5C" w:rsidP="00B60A65">
            <w:pPr>
              <w:pStyle w:val="NoSpacing"/>
              <w:jc w:val="center"/>
              <w:rPr>
                <w:rFonts w:cstheme="minorHAnsi"/>
                <w:sz w:val="20"/>
                <w:szCs w:val="20"/>
              </w:rPr>
            </w:pPr>
            <w:r w:rsidRPr="00387653">
              <w:rPr>
                <w:rFonts w:cstheme="minorHAnsi"/>
                <w:sz w:val="20"/>
                <w:szCs w:val="20"/>
              </w:rPr>
              <w:t>Met target</w:t>
            </w:r>
          </w:p>
        </w:tc>
      </w:tr>
    </w:tbl>
    <w:p w14:paraId="2E8F175E" w14:textId="7C5839FA" w:rsidR="006876B1" w:rsidRDefault="006876B1" w:rsidP="00A64EA0">
      <w:pPr>
        <w:pStyle w:val="NoSpacing"/>
        <w:rPr>
          <w:rFonts w:cstheme="minorHAnsi"/>
        </w:rPr>
      </w:pPr>
    </w:p>
    <w:p w14:paraId="5FB51FF5" w14:textId="4297E8D3" w:rsidR="00387653" w:rsidRDefault="00387653" w:rsidP="00A64EA0">
      <w:pPr>
        <w:pStyle w:val="NoSpacing"/>
        <w:rPr>
          <w:rFonts w:cstheme="minorHAnsi"/>
        </w:rPr>
      </w:pPr>
    </w:p>
    <w:p w14:paraId="58CBB2EE" w14:textId="199C2ADB" w:rsidR="00387653" w:rsidRDefault="00387653" w:rsidP="00A64EA0">
      <w:pPr>
        <w:pStyle w:val="NoSpacing"/>
        <w:rPr>
          <w:rFonts w:cstheme="minorHAnsi"/>
        </w:rPr>
      </w:pPr>
    </w:p>
    <w:p w14:paraId="1724D799" w14:textId="7B6FB95B" w:rsidR="00387653" w:rsidRDefault="00387653" w:rsidP="00A64EA0">
      <w:pPr>
        <w:pStyle w:val="NoSpacing"/>
        <w:rPr>
          <w:rFonts w:cstheme="minorHAnsi"/>
        </w:rPr>
      </w:pPr>
    </w:p>
    <w:p w14:paraId="0826E1C8" w14:textId="77777777" w:rsidR="00387653" w:rsidRPr="00387653" w:rsidRDefault="00387653" w:rsidP="00A64EA0">
      <w:pPr>
        <w:pStyle w:val="NoSpacing"/>
        <w:rPr>
          <w:rFonts w:cstheme="minorHAnsi"/>
        </w:rPr>
      </w:pPr>
    </w:p>
    <w:p w14:paraId="6CDF8F0D" w14:textId="370B3FF8" w:rsidR="006C79FE" w:rsidRPr="00387653" w:rsidRDefault="006876B1" w:rsidP="00A64EA0">
      <w:pPr>
        <w:pStyle w:val="NoSpacing"/>
        <w:rPr>
          <w:rFonts w:cstheme="minorHAnsi"/>
        </w:rPr>
      </w:pPr>
      <w:r w:rsidRPr="00387653">
        <w:rPr>
          <w:rFonts w:cstheme="minorHAnsi"/>
        </w:rPr>
        <w:t>Indicator C6: Child Find Birth to age three</w:t>
      </w:r>
    </w:p>
    <w:tbl>
      <w:tblPr>
        <w:tblStyle w:val="TableGrid"/>
        <w:tblW w:w="10350" w:type="dxa"/>
        <w:tblInd w:w="-95" w:type="dxa"/>
        <w:tblLook w:val="04A0" w:firstRow="1" w:lastRow="0" w:firstColumn="1" w:lastColumn="0" w:noHBand="0" w:noVBand="1"/>
      </w:tblPr>
      <w:tblGrid>
        <w:gridCol w:w="3240"/>
        <w:gridCol w:w="2160"/>
        <w:gridCol w:w="1080"/>
        <w:gridCol w:w="1260"/>
        <w:gridCol w:w="1170"/>
        <w:gridCol w:w="1440"/>
      </w:tblGrid>
      <w:tr w:rsidR="00387653" w:rsidRPr="00387653" w14:paraId="66082430" w14:textId="77777777" w:rsidTr="00387653">
        <w:tc>
          <w:tcPr>
            <w:tcW w:w="3240" w:type="dxa"/>
            <w:vAlign w:val="center"/>
          </w:tcPr>
          <w:p w14:paraId="2FC03EB2" w14:textId="77777777" w:rsidR="000C0793" w:rsidRPr="000C0793" w:rsidRDefault="000C0793" w:rsidP="000C0793">
            <w:pPr>
              <w:pStyle w:val="NoSpacing"/>
              <w:jc w:val="center"/>
              <w:rPr>
                <w:rFonts w:cstheme="minorHAnsi"/>
                <w:sz w:val="20"/>
                <w:szCs w:val="20"/>
              </w:rPr>
            </w:pPr>
            <w:r w:rsidRPr="000C0793">
              <w:rPr>
                <w:rFonts w:cstheme="minorHAnsi"/>
                <w:sz w:val="20"/>
                <w:szCs w:val="20"/>
              </w:rPr>
              <w:t># of I/T birth to 3 with IFSPs</w:t>
            </w:r>
          </w:p>
          <w:p w14:paraId="6E32E2ED" w14:textId="77777777" w:rsidR="006876B1" w:rsidRPr="00387653" w:rsidRDefault="006876B1" w:rsidP="000C0793">
            <w:pPr>
              <w:pStyle w:val="NoSpacing"/>
              <w:jc w:val="center"/>
              <w:rPr>
                <w:rFonts w:cstheme="minorHAnsi"/>
                <w:sz w:val="20"/>
                <w:szCs w:val="20"/>
              </w:rPr>
            </w:pPr>
          </w:p>
        </w:tc>
        <w:tc>
          <w:tcPr>
            <w:tcW w:w="2160" w:type="dxa"/>
            <w:vAlign w:val="center"/>
          </w:tcPr>
          <w:p w14:paraId="60E1E6F7" w14:textId="7164FA80" w:rsidR="006876B1" w:rsidRPr="00387653" w:rsidRDefault="000C0793" w:rsidP="000C0793">
            <w:pPr>
              <w:pStyle w:val="NoSpacing"/>
              <w:jc w:val="center"/>
              <w:rPr>
                <w:rFonts w:cstheme="minorHAnsi"/>
                <w:sz w:val="20"/>
                <w:szCs w:val="20"/>
              </w:rPr>
            </w:pPr>
            <w:r w:rsidRPr="000C0793">
              <w:rPr>
                <w:rFonts w:cstheme="minorHAnsi"/>
                <w:sz w:val="20"/>
                <w:szCs w:val="20"/>
              </w:rPr>
              <w:t>SD population of I/T birth to 3</w:t>
            </w:r>
          </w:p>
        </w:tc>
        <w:tc>
          <w:tcPr>
            <w:tcW w:w="1080" w:type="dxa"/>
            <w:vAlign w:val="center"/>
          </w:tcPr>
          <w:p w14:paraId="55666FB1" w14:textId="77777777" w:rsidR="006876B1" w:rsidRPr="00387653" w:rsidRDefault="006876B1" w:rsidP="00B60A65">
            <w:pPr>
              <w:pStyle w:val="NoSpacing"/>
              <w:jc w:val="center"/>
              <w:rPr>
                <w:rFonts w:cstheme="minorHAnsi"/>
                <w:sz w:val="20"/>
                <w:szCs w:val="20"/>
              </w:rPr>
            </w:pPr>
            <w:r w:rsidRPr="00387653">
              <w:rPr>
                <w:rFonts w:cstheme="minorHAnsi"/>
                <w:sz w:val="20"/>
                <w:szCs w:val="20"/>
              </w:rPr>
              <w:t>FFY2020 Data</w:t>
            </w:r>
          </w:p>
        </w:tc>
        <w:tc>
          <w:tcPr>
            <w:tcW w:w="1260" w:type="dxa"/>
            <w:vAlign w:val="center"/>
          </w:tcPr>
          <w:p w14:paraId="55D7AA99" w14:textId="77777777" w:rsidR="006876B1" w:rsidRPr="00387653" w:rsidRDefault="006876B1" w:rsidP="00B60A65">
            <w:pPr>
              <w:pStyle w:val="NoSpacing"/>
              <w:jc w:val="center"/>
              <w:rPr>
                <w:rFonts w:cstheme="minorHAnsi"/>
                <w:sz w:val="20"/>
                <w:szCs w:val="20"/>
              </w:rPr>
            </w:pPr>
            <w:r w:rsidRPr="00387653">
              <w:rPr>
                <w:rFonts w:cstheme="minorHAnsi"/>
                <w:sz w:val="20"/>
                <w:szCs w:val="20"/>
              </w:rPr>
              <w:t>FFY2021 Target</w:t>
            </w:r>
          </w:p>
        </w:tc>
        <w:tc>
          <w:tcPr>
            <w:tcW w:w="1170" w:type="dxa"/>
            <w:vAlign w:val="center"/>
          </w:tcPr>
          <w:p w14:paraId="4DB88C7E" w14:textId="77777777" w:rsidR="006876B1" w:rsidRPr="00387653" w:rsidRDefault="006876B1" w:rsidP="00B60A65">
            <w:pPr>
              <w:pStyle w:val="NoSpacing"/>
              <w:jc w:val="center"/>
              <w:rPr>
                <w:rFonts w:cstheme="minorHAnsi"/>
                <w:sz w:val="20"/>
                <w:szCs w:val="20"/>
              </w:rPr>
            </w:pPr>
            <w:r w:rsidRPr="00387653">
              <w:rPr>
                <w:rFonts w:cstheme="minorHAnsi"/>
                <w:sz w:val="20"/>
                <w:szCs w:val="20"/>
              </w:rPr>
              <w:t>FFY2021 Data</w:t>
            </w:r>
          </w:p>
        </w:tc>
        <w:tc>
          <w:tcPr>
            <w:tcW w:w="1440" w:type="dxa"/>
            <w:vAlign w:val="center"/>
          </w:tcPr>
          <w:p w14:paraId="3BF2A09B" w14:textId="77777777" w:rsidR="006876B1" w:rsidRPr="00387653" w:rsidRDefault="006876B1" w:rsidP="00B60A65">
            <w:pPr>
              <w:pStyle w:val="NoSpacing"/>
              <w:jc w:val="center"/>
              <w:rPr>
                <w:rFonts w:cstheme="minorHAnsi"/>
                <w:sz w:val="20"/>
                <w:szCs w:val="20"/>
              </w:rPr>
            </w:pPr>
            <w:r w:rsidRPr="00387653">
              <w:rPr>
                <w:rFonts w:cstheme="minorHAnsi"/>
                <w:sz w:val="20"/>
                <w:szCs w:val="20"/>
              </w:rPr>
              <w:t>Status</w:t>
            </w:r>
          </w:p>
        </w:tc>
      </w:tr>
      <w:tr w:rsidR="00387653" w:rsidRPr="00387653" w14:paraId="75A94DE6" w14:textId="77777777" w:rsidTr="00387653">
        <w:trPr>
          <w:trHeight w:val="485"/>
        </w:trPr>
        <w:tc>
          <w:tcPr>
            <w:tcW w:w="3240" w:type="dxa"/>
            <w:vAlign w:val="center"/>
          </w:tcPr>
          <w:p w14:paraId="61612305" w14:textId="0D7E24A3" w:rsidR="006876B1" w:rsidRPr="00387653" w:rsidRDefault="000C0793" w:rsidP="00B60A65">
            <w:pPr>
              <w:pStyle w:val="NoSpacing"/>
              <w:jc w:val="center"/>
              <w:rPr>
                <w:rFonts w:cstheme="minorHAnsi"/>
                <w:sz w:val="20"/>
                <w:szCs w:val="20"/>
              </w:rPr>
            </w:pPr>
            <w:r w:rsidRPr="00387653">
              <w:rPr>
                <w:rFonts w:cstheme="minorHAnsi"/>
                <w:sz w:val="20"/>
                <w:szCs w:val="20"/>
              </w:rPr>
              <w:t>1,018</w:t>
            </w:r>
          </w:p>
        </w:tc>
        <w:tc>
          <w:tcPr>
            <w:tcW w:w="2160" w:type="dxa"/>
            <w:vAlign w:val="center"/>
          </w:tcPr>
          <w:p w14:paraId="668971FF" w14:textId="06B5ADB6" w:rsidR="006876B1" w:rsidRPr="00387653" w:rsidRDefault="000C0793" w:rsidP="00B60A65">
            <w:pPr>
              <w:pStyle w:val="NoSpacing"/>
              <w:jc w:val="center"/>
              <w:rPr>
                <w:rFonts w:cstheme="minorHAnsi"/>
                <w:sz w:val="20"/>
                <w:szCs w:val="20"/>
              </w:rPr>
            </w:pPr>
            <w:r w:rsidRPr="00387653">
              <w:rPr>
                <w:rFonts w:cstheme="minorHAnsi"/>
                <w:sz w:val="20"/>
                <w:szCs w:val="20"/>
              </w:rPr>
              <w:t>34,317</w:t>
            </w:r>
          </w:p>
        </w:tc>
        <w:tc>
          <w:tcPr>
            <w:tcW w:w="1080" w:type="dxa"/>
            <w:vAlign w:val="center"/>
          </w:tcPr>
          <w:p w14:paraId="41E73527" w14:textId="15FCCDA1" w:rsidR="006876B1" w:rsidRPr="00387653" w:rsidRDefault="000C0793" w:rsidP="00B60A65">
            <w:pPr>
              <w:pStyle w:val="NoSpacing"/>
              <w:jc w:val="center"/>
              <w:rPr>
                <w:rFonts w:cstheme="minorHAnsi"/>
                <w:sz w:val="20"/>
                <w:szCs w:val="20"/>
              </w:rPr>
            </w:pPr>
            <w:r w:rsidRPr="00387653">
              <w:rPr>
                <w:rFonts w:cstheme="minorHAnsi"/>
                <w:sz w:val="20"/>
                <w:szCs w:val="20"/>
              </w:rPr>
              <w:t>2.56%</w:t>
            </w:r>
          </w:p>
        </w:tc>
        <w:tc>
          <w:tcPr>
            <w:tcW w:w="1260" w:type="dxa"/>
            <w:vAlign w:val="center"/>
          </w:tcPr>
          <w:p w14:paraId="5DEEFA20" w14:textId="108EFAC9" w:rsidR="006876B1" w:rsidRPr="00387653" w:rsidRDefault="000C0793" w:rsidP="00B60A65">
            <w:pPr>
              <w:pStyle w:val="NoSpacing"/>
              <w:jc w:val="center"/>
              <w:rPr>
                <w:rFonts w:cstheme="minorHAnsi"/>
                <w:sz w:val="20"/>
                <w:szCs w:val="20"/>
              </w:rPr>
            </w:pPr>
            <w:r w:rsidRPr="00387653">
              <w:rPr>
                <w:rFonts w:cstheme="minorHAnsi"/>
                <w:sz w:val="20"/>
                <w:szCs w:val="20"/>
              </w:rPr>
              <w:t>2.81%</w:t>
            </w:r>
          </w:p>
        </w:tc>
        <w:tc>
          <w:tcPr>
            <w:tcW w:w="1170" w:type="dxa"/>
            <w:vAlign w:val="center"/>
          </w:tcPr>
          <w:p w14:paraId="33FE791D" w14:textId="5669E1E0" w:rsidR="006876B1" w:rsidRPr="00387653" w:rsidRDefault="000C0793" w:rsidP="00B60A65">
            <w:pPr>
              <w:pStyle w:val="NoSpacing"/>
              <w:jc w:val="center"/>
              <w:rPr>
                <w:rFonts w:cstheme="minorHAnsi"/>
                <w:sz w:val="20"/>
                <w:szCs w:val="20"/>
              </w:rPr>
            </w:pPr>
            <w:r w:rsidRPr="00387653">
              <w:rPr>
                <w:rFonts w:cstheme="minorHAnsi"/>
                <w:sz w:val="20"/>
                <w:szCs w:val="20"/>
              </w:rPr>
              <w:t>2.97%</w:t>
            </w:r>
          </w:p>
        </w:tc>
        <w:tc>
          <w:tcPr>
            <w:tcW w:w="1440" w:type="dxa"/>
            <w:vAlign w:val="center"/>
          </w:tcPr>
          <w:p w14:paraId="44791F0F" w14:textId="77777777" w:rsidR="006876B1" w:rsidRPr="00387653" w:rsidRDefault="006876B1" w:rsidP="00B60A65">
            <w:pPr>
              <w:pStyle w:val="NoSpacing"/>
              <w:jc w:val="center"/>
              <w:rPr>
                <w:rFonts w:cstheme="minorHAnsi"/>
                <w:sz w:val="20"/>
                <w:szCs w:val="20"/>
              </w:rPr>
            </w:pPr>
            <w:r w:rsidRPr="00387653">
              <w:rPr>
                <w:rFonts w:cstheme="minorHAnsi"/>
                <w:sz w:val="20"/>
                <w:szCs w:val="20"/>
              </w:rPr>
              <w:t>Met target</w:t>
            </w:r>
          </w:p>
        </w:tc>
      </w:tr>
    </w:tbl>
    <w:p w14:paraId="6FDC40A1" w14:textId="6FA84CC2" w:rsidR="005A0A67" w:rsidRPr="00387653" w:rsidRDefault="005A0A67" w:rsidP="00A64EA0">
      <w:pPr>
        <w:pStyle w:val="NoSpacing"/>
        <w:rPr>
          <w:rFonts w:cstheme="minorHAnsi"/>
        </w:rPr>
      </w:pPr>
    </w:p>
    <w:p w14:paraId="071B3868" w14:textId="1810C848" w:rsidR="00A30D28" w:rsidRPr="00387653" w:rsidRDefault="00382EB8" w:rsidP="00A64EA0">
      <w:pPr>
        <w:pStyle w:val="NoSpacing"/>
        <w:rPr>
          <w:rFonts w:cstheme="minorHAnsi"/>
        </w:rPr>
      </w:pPr>
      <w:r w:rsidRPr="00387653">
        <w:rPr>
          <w:rFonts w:cstheme="minorHAnsi"/>
        </w:rPr>
        <w:t xml:space="preserve">Indicator C4 Family Outcomes </w:t>
      </w:r>
    </w:p>
    <w:tbl>
      <w:tblPr>
        <w:tblStyle w:val="TableGrid"/>
        <w:tblW w:w="10350" w:type="dxa"/>
        <w:tblInd w:w="-95" w:type="dxa"/>
        <w:tblLook w:val="04A0" w:firstRow="1" w:lastRow="0" w:firstColumn="1" w:lastColumn="0" w:noHBand="0" w:noVBand="1"/>
      </w:tblPr>
      <w:tblGrid>
        <w:gridCol w:w="5400"/>
        <w:gridCol w:w="1080"/>
        <w:gridCol w:w="1260"/>
        <w:gridCol w:w="1170"/>
        <w:gridCol w:w="1440"/>
      </w:tblGrid>
      <w:tr w:rsidR="00382EB8" w:rsidRPr="00387653" w14:paraId="7D4BADB9" w14:textId="77777777" w:rsidTr="00AD6B70">
        <w:tc>
          <w:tcPr>
            <w:tcW w:w="5400" w:type="dxa"/>
            <w:vAlign w:val="center"/>
          </w:tcPr>
          <w:p w14:paraId="1DA6B916" w14:textId="5491D76E" w:rsidR="00382EB8" w:rsidRPr="00387653" w:rsidRDefault="00382EB8" w:rsidP="005B2A96">
            <w:pPr>
              <w:pStyle w:val="NoSpacing"/>
              <w:rPr>
                <w:rFonts w:cstheme="minorHAnsi"/>
              </w:rPr>
            </w:pPr>
            <w:r w:rsidRPr="00387653">
              <w:rPr>
                <w:rFonts w:cstheme="minorHAnsi"/>
              </w:rPr>
              <w:t>% of families reporting that early intervention services helped the family</w:t>
            </w:r>
          </w:p>
        </w:tc>
        <w:tc>
          <w:tcPr>
            <w:tcW w:w="1080" w:type="dxa"/>
            <w:vAlign w:val="center"/>
          </w:tcPr>
          <w:p w14:paraId="2017354B" w14:textId="77777777" w:rsidR="00382EB8" w:rsidRPr="00387653" w:rsidRDefault="00382EB8" w:rsidP="005B2A96">
            <w:pPr>
              <w:pStyle w:val="NoSpacing"/>
              <w:jc w:val="center"/>
              <w:rPr>
                <w:rFonts w:cstheme="minorHAnsi"/>
              </w:rPr>
            </w:pPr>
            <w:r w:rsidRPr="00387653">
              <w:rPr>
                <w:rFonts w:cstheme="minorHAnsi"/>
              </w:rPr>
              <w:t>FFY2020 Data</w:t>
            </w:r>
          </w:p>
        </w:tc>
        <w:tc>
          <w:tcPr>
            <w:tcW w:w="1260" w:type="dxa"/>
            <w:vAlign w:val="center"/>
          </w:tcPr>
          <w:p w14:paraId="35644FD8" w14:textId="77777777" w:rsidR="00382EB8" w:rsidRPr="00387653" w:rsidRDefault="00382EB8" w:rsidP="005B2A96">
            <w:pPr>
              <w:pStyle w:val="NoSpacing"/>
              <w:jc w:val="center"/>
              <w:rPr>
                <w:rFonts w:cstheme="minorHAnsi"/>
              </w:rPr>
            </w:pPr>
            <w:r w:rsidRPr="00387653">
              <w:rPr>
                <w:rFonts w:cstheme="minorHAnsi"/>
              </w:rPr>
              <w:t>FFY2021 Target</w:t>
            </w:r>
          </w:p>
        </w:tc>
        <w:tc>
          <w:tcPr>
            <w:tcW w:w="1170" w:type="dxa"/>
            <w:vAlign w:val="center"/>
          </w:tcPr>
          <w:p w14:paraId="6457E3E3" w14:textId="77777777" w:rsidR="00382EB8" w:rsidRPr="00387653" w:rsidRDefault="00382EB8" w:rsidP="005B2A96">
            <w:pPr>
              <w:pStyle w:val="NoSpacing"/>
              <w:jc w:val="center"/>
              <w:rPr>
                <w:rFonts w:cstheme="minorHAnsi"/>
              </w:rPr>
            </w:pPr>
            <w:r w:rsidRPr="00387653">
              <w:rPr>
                <w:rFonts w:cstheme="minorHAnsi"/>
              </w:rPr>
              <w:t>FFY2021 Data</w:t>
            </w:r>
          </w:p>
        </w:tc>
        <w:tc>
          <w:tcPr>
            <w:tcW w:w="1440" w:type="dxa"/>
            <w:vAlign w:val="center"/>
          </w:tcPr>
          <w:p w14:paraId="1ACE742D" w14:textId="77777777" w:rsidR="00382EB8" w:rsidRPr="00387653" w:rsidRDefault="00382EB8" w:rsidP="005B2A96">
            <w:pPr>
              <w:pStyle w:val="NoSpacing"/>
              <w:jc w:val="center"/>
              <w:rPr>
                <w:rFonts w:cstheme="minorHAnsi"/>
              </w:rPr>
            </w:pPr>
            <w:r w:rsidRPr="00387653">
              <w:rPr>
                <w:rFonts w:cstheme="minorHAnsi"/>
              </w:rPr>
              <w:t>Status</w:t>
            </w:r>
          </w:p>
        </w:tc>
      </w:tr>
      <w:tr w:rsidR="00382EB8" w:rsidRPr="00387653" w14:paraId="320B62A5" w14:textId="77777777" w:rsidTr="00AD6B70">
        <w:tc>
          <w:tcPr>
            <w:tcW w:w="5400" w:type="dxa"/>
            <w:vAlign w:val="center"/>
          </w:tcPr>
          <w:p w14:paraId="5B548811" w14:textId="77777777" w:rsidR="00382EB8" w:rsidRPr="00387653" w:rsidRDefault="00382EB8" w:rsidP="005B2A96">
            <w:pPr>
              <w:pStyle w:val="NoSpacing"/>
              <w:rPr>
                <w:rFonts w:cstheme="minorHAnsi"/>
              </w:rPr>
            </w:pPr>
            <w:r w:rsidRPr="00387653">
              <w:rPr>
                <w:rFonts w:cstheme="minorHAnsi"/>
              </w:rPr>
              <w:t>A.  Know their rights</w:t>
            </w:r>
          </w:p>
        </w:tc>
        <w:tc>
          <w:tcPr>
            <w:tcW w:w="1080" w:type="dxa"/>
            <w:vAlign w:val="center"/>
          </w:tcPr>
          <w:p w14:paraId="54F4E9BD" w14:textId="77777777" w:rsidR="00382EB8" w:rsidRPr="00387653" w:rsidRDefault="00382EB8" w:rsidP="005B2A96">
            <w:pPr>
              <w:pStyle w:val="NoSpacing"/>
              <w:jc w:val="center"/>
              <w:rPr>
                <w:rFonts w:cstheme="minorHAnsi"/>
              </w:rPr>
            </w:pPr>
            <w:r w:rsidRPr="00387653">
              <w:rPr>
                <w:rFonts w:cstheme="minorHAnsi"/>
              </w:rPr>
              <w:t>97.98%</w:t>
            </w:r>
          </w:p>
        </w:tc>
        <w:tc>
          <w:tcPr>
            <w:tcW w:w="1260" w:type="dxa"/>
            <w:vAlign w:val="center"/>
          </w:tcPr>
          <w:p w14:paraId="52B7D146" w14:textId="77777777" w:rsidR="00382EB8" w:rsidRPr="00387653" w:rsidRDefault="00382EB8" w:rsidP="005B2A96">
            <w:pPr>
              <w:pStyle w:val="NoSpacing"/>
              <w:jc w:val="center"/>
              <w:rPr>
                <w:rFonts w:cstheme="minorHAnsi"/>
              </w:rPr>
            </w:pPr>
            <w:r w:rsidRPr="00387653">
              <w:rPr>
                <w:rFonts w:cstheme="minorHAnsi"/>
              </w:rPr>
              <w:t>94.1%</w:t>
            </w:r>
          </w:p>
        </w:tc>
        <w:tc>
          <w:tcPr>
            <w:tcW w:w="1170" w:type="dxa"/>
            <w:vAlign w:val="center"/>
          </w:tcPr>
          <w:p w14:paraId="70E44D8F" w14:textId="77777777" w:rsidR="00382EB8" w:rsidRPr="00387653" w:rsidRDefault="00382EB8" w:rsidP="005B2A96">
            <w:pPr>
              <w:pStyle w:val="NoSpacing"/>
              <w:jc w:val="center"/>
              <w:rPr>
                <w:rFonts w:cstheme="minorHAnsi"/>
              </w:rPr>
            </w:pPr>
            <w:r w:rsidRPr="00387653">
              <w:rPr>
                <w:rFonts w:cstheme="minorHAnsi"/>
              </w:rPr>
              <w:t>88.11%</w:t>
            </w:r>
          </w:p>
        </w:tc>
        <w:tc>
          <w:tcPr>
            <w:tcW w:w="1440" w:type="dxa"/>
            <w:vAlign w:val="center"/>
          </w:tcPr>
          <w:p w14:paraId="01804CB5" w14:textId="204E5D75" w:rsidR="00382EB8" w:rsidRPr="00387653" w:rsidRDefault="005B2A96" w:rsidP="005B2A96">
            <w:pPr>
              <w:pStyle w:val="NoSpacing"/>
              <w:jc w:val="center"/>
              <w:rPr>
                <w:rFonts w:cstheme="minorHAnsi"/>
              </w:rPr>
            </w:pPr>
            <w:r w:rsidRPr="00387653">
              <w:rPr>
                <w:rFonts w:cstheme="minorHAnsi"/>
              </w:rPr>
              <w:t>Did not meet target</w:t>
            </w:r>
          </w:p>
        </w:tc>
      </w:tr>
      <w:tr w:rsidR="00382EB8" w:rsidRPr="00387653" w14:paraId="1FBD5681" w14:textId="77777777" w:rsidTr="00AD6B70">
        <w:tc>
          <w:tcPr>
            <w:tcW w:w="5400" w:type="dxa"/>
            <w:vAlign w:val="center"/>
          </w:tcPr>
          <w:p w14:paraId="79D411D5" w14:textId="77777777" w:rsidR="00382EB8" w:rsidRPr="00387653" w:rsidRDefault="00382EB8" w:rsidP="005B2A96">
            <w:pPr>
              <w:pStyle w:val="NoSpacing"/>
              <w:rPr>
                <w:rFonts w:cstheme="minorHAnsi"/>
              </w:rPr>
            </w:pPr>
            <w:r w:rsidRPr="00387653">
              <w:rPr>
                <w:rFonts w:cstheme="minorHAnsi"/>
              </w:rPr>
              <w:t>B. Effectively communicate child’s needs</w:t>
            </w:r>
          </w:p>
        </w:tc>
        <w:tc>
          <w:tcPr>
            <w:tcW w:w="1080" w:type="dxa"/>
            <w:vAlign w:val="center"/>
          </w:tcPr>
          <w:p w14:paraId="57BCFF11" w14:textId="77777777" w:rsidR="00382EB8" w:rsidRPr="00387653" w:rsidRDefault="00382EB8" w:rsidP="005B2A96">
            <w:pPr>
              <w:pStyle w:val="NoSpacing"/>
              <w:jc w:val="center"/>
              <w:rPr>
                <w:rFonts w:cstheme="minorHAnsi"/>
              </w:rPr>
            </w:pPr>
            <w:r w:rsidRPr="00387653">
              <w:rPr>
                <w:rFonts w:cstheme="minorHAnsi"/>
              </w:rPr>
              <w:t>97.96%</w:t>
            </w:r>
          </w:p>
        </w:tc>
        <w:tc>
          <w:tcPr>
            <w:tcW w:w="1260" w:type="dxa"/>
            <w:vAlign w:val="center"/>
          </w:tcPr>
          <w:p w14:paraId="089219F4" w14:textId="77777777" w:rsidR="00382EB8" w:rsidRPr="00387653" w:rsidRDefault="00382EB8" w:rsidP="005B2A96">
            <w:pPr>
              <w:pStyle w:val="NoSpacing"/>
              <w:jc w:val="center"/>
              <w:rPr>
                <w:rFonts w:cstheme="minorHAnsi"/>
              </w:rPr>
            </w:pPr>
            <w:r w:rsidRPr="00387653">
              <w:rPr>
                <w:rFonts w:cstheme="minorHAnsi"/>
              </w:rPr>
              <w:t>90.2%</w:t>
            </w:r>
          </w:p>
        </w:tc>
        <w:tc>
          <w:tcPr>
            <w:tcW w:w="1170" w:type="dxa"/>
            <w:vAlign w:val="center"/>
          </w:tcPr>
          <w:p w14:paraId="67FA52E5" w14:textId="77777777" w:rsidR="00382EB8" w:rsidRPr="00387653" w:rsidRDefault="00382EB8" w:rsidP="005B2A96">
            <w:pPr>
              <w:pStyle w:val="NoSpacing"/>
              <w:jc w:val="center"/>
              <w:rPr>
                <w:rFonts w:cstheme="minorHAnsi"/>
              </w:rPr>
            </w:pPr>
            <w:r w:rsidRPr="00387653">
              <w:rPr>
                <w:rFonts w:cstheme="minorHAnsi"/>
              </w:rPr>
              <w:t>90.98%</w:t>
            </w:r>
          </w:p>
        </w:tc>
        <w:tc>
          <w:tcPr>
            <w:tcW w:w="1440" w:type="dxa"/>
            <w:vAlign w:val="center"/>
          </w:tcPr>
          <w:p w14:paraId="094B104F" w14:textId="25506639" w:rsidR="00382EB8" w:rsidRPr="00387653" w:rsidRDefault="00382EB8" w:rsidP="005B2A96">
            <w:pPr>
              <w:pStyle w:val="NoSpacing"/>
              <w:jc w:val="center"/>
              <w:rPr>
                <w:rFonts w:cstheme="minorHAnsi"/>
              </w:rPr>
            </w:pPr>
            <w:r w:rsidRPr="00387653">
              <w:rPr>
                <w:rFonts w:cstheme="minorHAnsi"/>
              </w:rPr>
              <w:t>Met</w:t>
            </w:r>
            <w:r w:rsidR="005B2A96" w:rsidRPr="00387653">
              <w:rPr>
                <w:rFonts w:cstheme="minorHAnsi"/>
              </w:rPr>
              <w:t xml:space="preserve"> target</w:t>
            </w:r>
          </w:p>
        </w:tc>
      </w:tr>
      <w:tr w:rsidR="00382EB8" w:rsidRPr="00387653" w14:paraId="44FD9F12" w14:textId="77777777" w:rsidTr="00AD6B70">
        <w:tc>
          <w:tcPr>
            <w:tcW w:w="5400" w:type="dxa"/>
            <w:vAlign w:val="center"/>
          </w:tcPr>
          <w:p w14:paraId="3DAC685B" w14:textId="77777777" w:rsidR="00382EB8" w:rsidRPr="00387653" w:rsidRDefault="00382EB8" w:rsidP="005B2A96">
            <w:pPr>
              <w:pStyle w:val="NoSpacing"/>
              <w:rPr>
                <w:rFonts w:cstheme="minorHAnsi"/>
              </w:rPr>
            </w:pPr>
            <w:r w:rsidRPr="00387653">
              <w:rPr>
                <w:rFonts w:cstheme="minorHAnsi"/>
              </w:rPr>
              <w:t>C. Help their child develop and learn</w:t>
            </w:r>
          </w:p>
        </w:tc>
        <w:tc>
          <w:tcPr>
            <w:tcW w:w="1080" w:type="dxa"/>
            <w:vAlign w:val="center"/>
          </w:tcPr>
          <w:p w14:paraId="1A2C4E91" w14:textId="77777777" w:rsidR="00382EB8" w:rsidRPr="00387653" w:rsidRDefault="00382EB8" w:rsidP="005B2A96">
            <w:pPr>
              <w:pStyle w:val="NoSpacing"/>
              <w:jc w:val="center"/>
              <w:rPr>
                <w:rFonts w:cstheme="minorHAnsi"/>
              </w:rPr>
            </w:pPr>
            <w:r w:rsidRPr="00387653">
              <w:rPr>
                <w:rFonts w:cstheme="minorHAnsi"/>
              </w:rPr>
              <w:t>99.19%</w:t>
            </w:r>
          </w:p>
        </w:tc>
        <w:tc>
          <w:tcPr>
            <w:tcW w:w="1260" w:type="dxa"/>
            <w:vAlign w:val="center"/>
          </w:tcPr>
          <w:p w14:paraId="30CECC8B" w14:textId="77777777" w:rsidR="00382EB8" w:rsidRPr="00387653" w:rsidRDefault="00382EB8" w:rsidP="005B2A96">
            <w:pPr>
              <w:pStyle w:val="NoSpacing"/>
              <w:jc w:val="center"/>
              <w:rPr>
                <w:rFonts w:cstheme="minorHAnsi"/>
              </w:rPr>
            </w:pPr>
            <w:r w:rsidRPr="00387653">
              <w:rPr>
                <w:rFonts w:cstheme="minorHAnsi"/>
              </w:rPr>
              <w:t>90.1%</w:t>
            </w:r>
          </w:p>
        </w:tc>
        <w:tc>
          <w:tcPr>
            <w:tcW w:w="1170" w:type="dxa"/>
            <w:vAlign w:val="center"/>
          </w:tcPr>
          <w:p w14:paraId="0889CF5C" w14:textId="77777777" w:rsidR="00382EB8" w:rsidRPr="00387653" w:rsidRDefault="00382EB8" w:rsidP="005B2A96">
            <w:pPr>
              <w:pStyle w:val="NoSpacing"/>
              <w:jc w:val="center"/>
              <w:rPr>
                <w:rFonts w:cstheme="minorHAnsi"/>
              </w:rPr>
            </w:pPr>
            <w:r w:rsidRPr="00387653">
              <w:rPr>
                <w:rFonts w:cstheme="minorHAnsi"/>
              </w:rPr>
              <w:t>87.30%</w:t>
            </w:r>
          </w:p>
        </w:tc>
        <w:tc>
          <w:tcPr>
            <w:tcW w:w="1440" w:type="dxa"/>
            <w:vAlign w:val="center"/>
          </w:tcPr>
          <w:p w14:paraId="29E4AE40" w14:textId="16E30A58" w:rsidR="00382EB8" w:rsidRPr="00387653" w:rsidRDefault="005B2A96" w:rsidP="005B2A96">
            <w:pPr>
              <w:pStyle w:val="NoSpacing"/>
              <w:jc w:val="center"/>
              <w:rPr>
                <w:rFonts w:cstheme="minorHAnsi"/>
              </w:rPr>
            </w:pPr>
            <w:r w:rsidRPr="00387653">
              <w:rPr>
                <w:rFonts w:cstheme="minorHAnsi"/>
              </w:rPr>
              <w:t>Did not meet target</w:t>
            </w:r>
          </w:p>
        </w:tc>
      </w:tr>
    </w:tbl>
    <w:p w14:paraId="1CC4A8D2" w14:textId="77777777" w:rsidR="00A30D28" w:rsidRPr="00387653" w:rsidRDefault="00A30D28" w:rsidP="00A64EA0">
      <w:pPr>
        <w:pStyle w:val="NoSpacing"/>
        <w:rPr>
          <w:rFonts w:cstheme="minorHAnsi"/>
        </w:rPr>
      </w:pPr>
    </w:p>
    <w:p w14:paraId="67AE2834" w14:textId="446D4696" w:rsidR="0070662A" w:rsidRPr="00387653" w:rsidRDefault="00A43BDD" w:rsidP="00A64EA0">
      <w:pPr>
        <w:pStyle w:val="NoSpacing"/>
        <w:rPr>
          <w:rFonts w:cstheme="minorHAnsi"/>
        </w:rPr>
      </w:pPr>
      <w:r w:rsidRPr="00387653">
        <w:rPr>
          <w:rFonts w:cstheme="minorHAnsi"/>
        </w:rPr>
        <w:t xml:space="preserve">Carter </w:t>
      </w:r>
      <w:r w:rsidR="00CC41B6" w:rsidRPr="00387653">
        <w:rPr>
          <w:rFonts w:cstheme="minorHAnsi"/>
        </w:rPr>
        <w:t xml:space="preserve">reminded </w:t>
      </w:r>
      <w:r w:rsidR="004A03B3" w:rsidRPr="00387653">
        <w:rPr>
          <w:rFonts w:cstheme="minorHAnsi"/>
        </w:rPr>
        <w:t>members</w:t>
      </w:r>
      <w:r w:rsidR="00295210" w:rsidRPr="00387653">
        <w:rPr>
          <w:rFonts w:cstheme="minorHAnsi"/>
        </w:rPr>
        <w:t xml:space="preserve"> </w:t>
      </w:r>
      <w:r w:rsidR="00CC41B6" w:rsidRPr="00387653">
        <w:rPr>
          <w:rFonts w:cstheme="minorHAnsi"/>
        </w:rPr>
        <w:t>data collec</w:t>
      </w:r>
      <w:r w:rsidR="00295210" w:rsidRPr="00387653">
        <w:rPr>
          <w:rFonts w:cstheme="minorHAnsi"/>
        </w:rPr>
        <w:t xml:space="preserve">tion </w:t>
      </w:r>
      <w:r w:rsidR="00CC41B6" w:rsidRPr="00387653">
        <w:rPr>
          <w:rFonts w:cstheme="minorHAnsi"/>
        </w:rPr>
        <w:t xml:space="preserve">for this indicator had changed </w:t>
      </w:r>
      <w:r w:rsidR="00122BB3" w:rsidRPr="00387653">
        <w:rPr>
          <w:rFonts w:cstheme="minorHAnsi"/>
        </w:rPr>
        <w:t xml:space="preserve">significantly from previous years.  Beginning with the FFY2021 reporting period, the state, with SICC input had </w:t>
      </w:r>
      <w:r w:rsidR="00972F83" w:rsidRPr="00387653">
        <w:rPr>
          <w:rFonts w:cstheme="minorHAnsi"/>
        </w:rPr>
        <w:t xml:space="preserve">adopted a different </w:t>
      </w:r>
      <w:r w:rsidR="00122BB3" w:rsidRPr="00387653">
        <w:rPr>
          <w:rFonts w:cstheme="minorHAnsi"/>
        </w:rPr>
        <w:t xml:space="preserve">tool to gather family input </w:t>
      </w:r>
      <w:r w:rsidR="00972F83" w:rsidRPr="00387653">
        <w:rPr>
          <w:rFonts w:cstheme="minorHAnsi"/>
        </w:rPr>
        <w:t xml:space="preserve">for this indicator.  This tool is more reliable than the previous tool and provided the state with a more </w:t>
      </w:r>
      <w:r w:rsidR="00295210" w:rsidRPr="00387653">
        <w:rPr>
          <w:rFonts w:cstheme="minorHAnsi"/>
        </w:rPr>
        <w:t>in-depth</w:t>
      </w:r>
      <w:r w:rsidR="00972F83" w:rsidRPr="00387653">
        <w:rPr>
          <w:rFonts w:cstheme="minorHAnsi"/>
        </w:rPr>
        <w:t xml:space="preserve"> way to analyze and examine responses.  The state also was distributing the tool in a new format.  </w:t>
      </w:r>
      <w:r w:rsidR="009709C2" w:rsidRPr="00387653">
        <w:rPr>
          <w:rFonts w:cstheme="minorHAnsi"/>
        </w:rPr>
        <w:t xml:space="preserve">The state hypothesizes these two could directly contribute to the </w:t>
      </w:r>
      <w:r w:rsidR="00B34463" w:rsidRPr="00387653">
        <w:rPr>
          <w:rFonts w:cstheme="minorHAnsi"/>
        </w:rPr>
        <w:t xml:space="preserve">performance and also perhaps the lower response rate overall.  While the state did not reach target in two of the three areas, the state does note overall </w:t>
      </w:r>
      <w:r w:rsidR="00295210" w:rsidRPr="00387653">
        <w:rPr>
          <w:rFonts w:cstheme="minorHAnsi"/>
        </w:rPr>
        <w:t>families’</w:t>
      </w:r>
      <w:r w:rsidR="00B34463" w:rsidRPr="00387653">
        <w:rPr>
          <w:rFonts w:cstheme="minorHAnsi"/>
        </w:rPr>
        <w:t xml:space="preserve"> responses were very positive </w:t>
      </w:r>
      <w:r w:rsidR="00F97828" w:rsidRPr="00387653">
        <w:rPr>
          <w:rFonts w:cstheme="minorHAnsi"/>
        </w:rPr>
        <w:t xml:space="preserve">and responses from Native American families in particular scored higher than other ethnic groups.  </w:t>
      </w:r>
      <w:r w:rsidR="00FF58B4" w:rsidRPr="00387653">
        <w:rPr>
          <w:rFonts w:cstheme="minorHAnsi"/>
        </w:rPr>
        <w:t xml:space="preserve">The state </w:t>
      </w:r>
      <w:r w:rsidR="005C1F16" w:rsidRPr="00387653">
        <w:rPr>
          <w:rFonts w:cstheme="minorHAnsi"/>
        </w:rPr>
        <w:t xml:space="preserve">has plans underway to address some of the findings and will keep the SICC appraised as work progresses. </w:t>
      </w:r>
    </w:p>
    <w:p w14:paraId="2F39C627" w14:textId="5673A1F4" w:rsidR="005B2A96" w:rsidRPr="00387653" w:rsidRDefault="005B2A96" w:rsidP="00A64EA0">
      <w:pPr>
        <w:pStyle w:val="NoSpacing"/>
        <w:rPr>
          <w:rFonts w:cstheme="minorHAnsi"/>
        </w:rPr>
      </w:pPr>
    </w:p>
    <w:p w14:paraId="1115D0B8" w14:textId="67D0F8D5" w:rsidR="0087308A" w:rsidRPr="00387653" w:rsidRDefault="00B24765" w:rsidP="00A64EA0">
      <w:pPr>
        <w:pStyle w:val="NoSpacing"/>
        <w:rPr>
          <w:rFonts w:cstheme="minorHAnsi"/>
        </w:rPr>
      </w:pPr>
      <w:r w:rsidRPr="00387653">
        <w:rPr>
          <w:rFonts w:cstheme="minorHAnsi"/>
        </w:rPr>
        <w:t>C3: Child Outcomes has three performance areas with two ta</w:t>
      </w:r>
      <w:r w:rsidR="005248E2" w:rsidRPr="00387653">
        <w:rPr>
          <w:rFonts w:cstheme="minorHAnsi"/>
        </w:rPr>
        <w:t>rgets for</w:t>
      </w:r>
      <w:r w:rsidR="0087308A" w:rsidRPr="00387653">
        <w:rPr>
          <w:rFonts w:cstheme="minorHAnsi"/>
        </w:rPr>
        <w:t xml:space="preserve"> each performance, total</w:t>
      </w:r>
      <w:r w:rsidR="00B10EAE" w:rsidRPr="00387653">
        <w:rPr>
          <w:rFonts w:cstheme="minorHAnsi"/>
        </w:rPr>
        <w:t xml:space="preserve">ing </w:t>
      </w:r>
      <w:r w:rsidR="0087308A" w:rsidRPr="00387653">
        <w:rPr>
          <w:rFonts w:cstheme="minorHAnsi"/>
        </w:rPr>
        <w:t xml:space="preserve">6 measurement areas referred to as summary statements (SS).  </w:t>
      </w:r>
    </w:p>
    <w:p w14:paraId="56E6E7B5" w14:textId="77777777" w:rsidR="00201BF1" w:rsidRPr="00387653" w:rsidRDefault="00201BF1" w:rsidP="00A64EA0">
      <w:pPr>
        <w:pStyle w:val="NoSpacing"/>
        <w:rPr>
          <w:rFonts w:cstheme="minorHAnsi"/>
        </w:rPr>
      </w:pPr>
    </w:p>
    <w:p w14:paraId="6A8815FF" w14:textId="6F36367A" w:rsidR="00B06DA6" w:rsidRPr="00387653" w:rsidRDefault="00B06DA6" w:rsidP="00A64EA0">
      <w:pPr>
        <w:pStyle w:val="NoSpacing"/>
        <w:rPr>
          <w:rFonts w:cstheme="minorHAnsi"/>
        </w:rPr>
      </w:pPr>
      <w:r w:rsidRPr="00387653">
        <w:rPr>
          <w:rFonts w:cstheme="minorHAnsi"/>
        </w:rPr>
        <w:t>Indicator C3</w:t>
      </w:r>
      <w:r w:rsidR="0062532B" w:rsidRPr="00387653">
        <w:rPr>
          <w:rFonts w:cstheme="minorHAnsi"/>
        </w:rPr>
        <w:t>A</w:t>
      </w:r>
      <w:r w:rsidRPr="00387653">
        <w:rPr>
          <w:rFonts w:cstheme="minorHAnsi"/>
        </w:rPr>
        <w:t>: Child Outcomes</w:t>
      </w:r>
      <w:r w:rsidR="00990B29" w:rsidRPr="00387653">
        <w:rPr>
          <w:rFonts w:cstheme="minorHAnsi"/>
        </w:rPr>
        <w:t xml:space="preserve"> Percent of Infants and toddlers who demonstrate improved: </w:t>
      </w:r>
    </w:p>
    <w:tbl>
      <w:tblPr>
        <w:tblStyle w:val="TableGrid"/>
        <w:tblW w:w="10350" w:type="dxa"/>
        <w:tblInd w:w="-95" w:type="dxa"/>
        <w:tblLook w:val="04A0" w:firstRow="1" w:lastRow="0" w:firstColumn="1" w:lastColumn="0" w:noHBand="0" w:noVBand="1"/>
      </w:tblPr>
      <w:tblGrid>
        <w:gridCol w:w="6210"/>
        <w:gridCol w:w="990"/>
        <w:gridCol w:w="990"/>
        <w:gridCol w:w="1080"/>
        <w:gridCol w:w="1080"/>
      </w:tblGrid>
      <w:tr w:rsidR="0062532B" w:rsidRPr="00387653" w14:paraId="56C7EC9A" w14:textId="77777777" w:rsidTr="00AD6B70">
        <w:tc>
          <w:tcPr>
            <w:tcW w:w="6210" w:type="dxa"/>
            <w:vAlign w:val="center"/>
          </w:tcPr>
          <w:p w14:paraId="7D4DB65F" w14:textId="4DDB4D75" w:rsidR="00F95D7D" w:rsidRPr="00387653" w:rsidRDefault="00F95D7D" w:rsidP="00F95D7D">
            <w:pPr>
              <w:pStyle w:val="NoSpacing"/>
              <w:numPr>
                <w:ilvl w:val="0"/>
                <w:numId w:val="1"/>
              </w:numPr>
              <w:rPr>
                <w:rFonts w:cstheme="minorHAnsi"/>
              </w:rPr>
            </w:pPr>
            <w:r w:rsidRPr="00387653">
              <w:rPr>
                <w:rFonts w:cstheme="minorHAnsi"/>
              </w:rPr>
              <w:t>Social-emotional skills</w:t>
            </w:r>
          </w:p>
        </w:tc>
        <w:tc>
          <w:tcPr>
            <w:tcW w:w="990" w:type="dxa"/>
            <w:vAlign w:val="center"/>
          </w:tcPr>
          <w:p w14:paraId="295A443D" w14:textId="77777777" w:rsidR="00B06DA6" w:rsidRPr="00387653" w:rsidRDefault="00B06DA6" w:rsidP="00B60A65">
            <w:pPr>
              <w:pStyle w:val="NoSpacing"/>
              <w:jc w:val="center"/>
              <w:rPr>
                <w:rFonts w:cstheme="minorHAnsi"/>
              </w:rPr>
            </w:pPr>
            <w:r w:rsidRPr="00387653">
              <w:rPr>
                <w:rFonts w:cstheme="minorHAnsi"/>
              </w:rPr>
              <w:t>FFY2020 Data</w:t>
            </w:r>
          </w:p>
        </w:tc>
        <w:tc>
          <w:tcPr>
            <w:tcW w:w="990" w:type="dxa"/>
            <w:vAlign w:val="center"/>
          </w:tcPr>
          <w:p w14:paraId="06F89707" w14:textId="77777777" w:rsidR="00B06DA6" w:rsidRPr="00387653" w:rsidRDefault="00B06DA6" w:rsidP="00B60A65">
            <w:pPr>
              <w:pStyle w:val="NoSpacing"/>
              <w:jc w:val="center"/>
              <w:rPr>
                <w:rFonts w:cstheme="minorHAnsi"/>
              </w:rPr>
            </w:pPr>
            <w:r w:rsidRPr="00387653">
              <w:rPr>
                <w:rFonts w:cstheme="minorHAnsi"/>
              </w:rPr>
              <w:t>FFY2021 Target</w:t>
            </w:r>
          </w:p>
        </w:tc>
        <w:tc>
          <w:tcPr>
            <w:tcW w:w="1080" w:type="dxa"/>
            <w:vAlign w:val="center"/>
          </w:tcPr>
          <w:p w14:paraId="09C6AA3C" w14:textId="77777777" w:rsidR="00B06DA6" w:rsidRPr="00387653" w:rsidRDefault="00B06DA6" w:rsidP="00B60A65">
            <w:pPr>
              <w:pStyle w:val="NoSpacing"/>
              <w:jc w:val="center"/>
              <w:rPr>
                <w:rFonts w:cstheme="minorHAnsi"/>
              </w:rPr>
            </w:pPr>
            <w:r w:rsidRPr="00387653">
              <w:rPr>
                <w:rFonts w:cstheme="minorHAnsi"/>
              </w:rPr>
              <w:t>FFY2021 Data</w:t>
            </w:r>
          </w:p>
        </w:tc>
        <w:tc>
          <w:tcPr>
            <w:tcW w:w="1080" w:type="dxa"/>
            <w:vAlign w:val="center"/>
          </w:tcPr>
          <w:p w14:paraId="257D663D" w14:textId="77777777" w:rsidR="00B06DA6" w:rsidRPr="00387653" w:rsidRDefault="00B06DA6" w:rsidP="00B60A65">
            <w:pPr>
              <w:pStyle w:val="NoSpacing"/>
              <w:jc w:val="center"/>
              <w:rPr>
                <w:rFonts w:cstheme="minorHAnsi"/>
              </w:rPr>
            </w:pPr>
            <w:r w:rsidRPr="00387653">
              <w:rPr>
                <w:rFonts w:cstheme="minorHAnsi"/>
              </w:rPr>
              <w:t>Status</w:t>
            </w:r>
          </w:p>
        </w:tc>
      </w:tr>
      <w:tr w:rsidR="0062532B" w:rsidRPr="00387653" w14:paraId="7825B386" w14:textId="77777777" w:rsidTr="00AD6B70">
        <w:tc>
          <w:tcPr>
            <w:tcW w:w="6210" w:type="dxa"/>
            <w:vAlign w:val="center"/>
          </w:tcPr>
          <w:p w14:paraId="4ECCC3DC" w14:textId="4466D7EC" w:rsidR="00B06DA6" w:rsidRPr="00387653" w:rsidRDefault="00A527C9" w:rsidP="00A527C9">
            <w:pPr>
              <w:pStyle w:val="NoSpacing"/>
              <w:rPr>
                <w:rFonts w:cstheme="minorHAnsi"/>
              </w:rPr>
            </w:pPr>
            <w:r w:rsidRPr="00A527C9">
              <w:rPr>
                <w:rFonts w:cstheme="minorHAnsi"/>
              </w:rPr>
              <w:t xml:space="preserve">SS1 Of those children who entered or exited the program below age expectation, the % who substantially increased their rate of growth by the time they turned 3 years of age or exited the program. </w:t>
            </w:r>
          </w:p>
        </w:tc>
        <w:tc>
          <w:tcPr>
            <w:tcW w:w="990" w:type="dxa"/>
            <w:vAlign w:val="center"/>
          </w:tcPr>
          <w:p w14:paraId="2082A8B0" w14:textId="2EB5201D" w:rsidR="00B06DA6" w:rsidRPr="00387653" w:rsidRDefault="00753B8D" w:rsidP="00B60A65">
            <w:pPr>
              <w:pStyle w:val="NoSpacing"/>
              <w:jc w:val="center"/>
              <w:rPr>
                <w:rFonts w:cstheme="minorHAnsi"/>
              </w:rPr>
            </w:pPr>
            <w:r w:rsidRPr="00387653">
              <w:rPr>
                <w:rFonts w:cstheme="minorHAnsi"/>
              </w:rPr>
              <w:t>41.00%</w:t>
            </w:r>
          </w:p>
        </w:tc>
        <w:tc>
          <w:tcPr>
            <w:tcW w:w="990" w:type="dxa"/>
            <w:vAlign w:val="center"/>
          </w:tcPr>
          <w:p w14:paraId="4F8E32A4" w14:textId="65A1BA35" w:rsidR="00B06DA6" w:rsidRPr="00387653" w:rsidRDefault="00753B8D" w:rsidP="00B60A65">
            <w:pPr>
              <w:pStyle w:val="NoSpacing"/>
              <w:jc w:val="center"/>
              <w:rPr>
                <w:rFonts w:cstheme="minorHAnsi"/>
              </w:rPr>
            </w:pPr>
            <w:r w:rsidRPr="00387653">
              <w:rPr>
                <w:rFonts w:cstheme="minorHAnsi"/>
              </w:rPr>
              <w:t>41.5%</w:t>
            </w:r>
          </w:p>
        </w:tc>
        <w:tc>
          <w:tcPr>
            <w:tcW w:w="1080" w:type="dxa"/>
            <w:vAlign w:val="center"/>
          </w:tcPr>
          <w:p w14:paraId="1D399B17" w14:textId="035BF2BB" w:rsidR="00B06DA6" w:rsidRPr="00387653" w:rsidRDefault="00753B8D" w:rsidP="00B60A65">
            <w:pPr>
              <w:pStyle w:val="NoSpacing"/>
              <w:jc w:val="center"/>
              <w:rPr>
                <w:rFonts w:cstheme="minorHAnsi"/>
              </w:rPr>
            </w:pPr>
            <w:r w:rsidRPr="00387653">
              <w:rPr>
                <w:rFonts w:cstheme="minorHAnsi"/>
              </w:rPr>
              <w:t>38.63%</w:t>
            </w:r>
          </w:p>
        </w:tc>
        <w:tc>
          <w:tcPr>
            <w:tcW w:w="1080" w:type="dxa"/>
            <w:vAlign w:val="center"/>
          </w:tcPr>
          <w:p w14:paraId="45FF8F35" w14:textId="77777777" w:rsidR="00B06DA6" w:rsidRPr="00387653" w:rsidRDefault="00B06DA6" w:rsidP="00B60A65">
            <w:pPr>
              <w:pStyle w:val="NoSpacing"/>
              <w:jc w:val="center"/>
              <w:rPr>
                <w:rFonts w:cstheme="minorHAnsi"/>
              </w:rPr>
            </w:pPr>
            <w:r w:rsidRPr="00387653">
              <w:rPr>
                <w:rFonts w:cstheme="minorHAnsi"/>
              </w:rPr>
              <w:t>Did not meet target</w:t>
            </w:r>
          </w:p>
        </w:tc>
      </w:tr>
      <w:tr w:rsidR="0062532B" w:rsidRPr="00387653" w14:paraId="30A11A2E" w14:textId="77777777" w:rsidTr="00AD6B70">
        <w:tc>
          <w:tcPr>
            <w:tcW w:w="6210" w:type="dxa"/>
            <w:vAlign w:val="center"/>
          </w:tcPr>
          <w:p w14:paraId="596522A0" w14:textId="50AC8728" w:rsidR="00B06DA6" w:rsidRPr="00387653" w:rsidRDefault="00753B8D" w:rsidP="00753B8D">
            <w:pPr>
              <w:pStyle w:val="NoSpacing"/>
              <w:rPr>
                <w:rFonts w:cstheme="minorHAnsi"/>
              </w:rPr>
            </w:pPr>
            <w:r w:rsidRPr="00753B8D">
              <w:rPr>
                <w:rFonts w:cstheme="minorHAnsi"/>
              </w:rPr>
              <w:lastRenderedPageBreak/>
              <w:t>SS</w:t>
            </w:r>
            <w:proofErr w:type="gramStart"/>
            <w:r w:rsidRPr="00753B8D">
              <w:rPr>
                <w:rFonts w:cstheme="minorHAnsi"/>
              </w:rPr>
              <w:t>2  The</w:t>
            </w:r>
            <w:proofErr w:type="gramEnd"/>
            <w:r w:rsidRPr="00753B8D">
              <w:rPr>
                <w:rFonts w:cstheme="minorHAnsi"/>
              </w:rPr>
              <w:t xml:space="preserve"> percent of infants and toddlers who were functioning within age expectations  by the time they turned 3 years of age or exited the program.  </w:t>
            </w:r>
          </w:p>
        </w:tc>
        <w:tc>
          <w:tcPr>
            <w:tcW w:w="990" w:type="dxa"/>
            <w:vAlign w:val="center"/>
          </w:tcPr>
          <w:p w14:paraId="17EE3336" w14:textId="7B7B54D3" w:rsidR="00B06DA6" w:rsidRPr="00387653" w:rsidRDefault="00201BF1" w:rsidP="00B60A65">
            <w:pPr>
              <w:pStyle w:val="NoSpacing"/>
              <w:jc w:val="center"/>
              <w:rPr>
                <w:rFonts w:cstheme="minorHAnsi"/>
              </w:rPr>
            </w:pPr>
            <w:r w:rsidRPr="00387653">
              <w:rPr>
                <w:rFonts w:cstheme="minorHAnsi"/>
              </w:rPr>
              <w:t>72.45%</w:t>
            </w:r>
          </w:p>
        </w:tc>
        <w:tc>
          <w:tcPr>
            <w:tcW w:w="990" w:type="dxa"/>
            <w:vAlign w:val="center"/>
          </w:tcPr>
          <w:p w14:paraId="282F655A" w14:textId="67F1FBEB" w:rsidR="00B06DA6" w:rsidRPr="00387653" w:rsidRDefault="00201BF1" w:rsidP="00B60A65">
            <w:pPr>
              <w:pStyle w:val="NoSpacing"/>
              <w:jc w:val="center"/>
              <w:rPr>
                <w:rFonts w:cstheme="minorHAnsi"/>
              </w:rPr>
            </w:pPr>
            <w:r w:rsidRPr="00387653">
              <w:rPr>
                <w:rFonts w:cstheme="minorHAnsi"/>
              </w:rPr>
              <w:t>72.50%</w:t>
            </w:r>
          </w:p>
        </w:tc>
        <w:tc>
          <w:tcPr>
            <w:tcW w:w="1080" w:type="dxa"/>
            <w:vAlign w:val="center"/>
          </w:tcPr>
          <w:p w14:paraId="3D4FF328" w14:textId="18C6D55F" w:rsidR="00B06DA6" w:rsidRPr="00387653" w:rsidRDefault="00201BF1" w:rsidP="00B60A65">
            <w:pPr>
              <w:pStyle w:val="NoSpacing"/>
              <w:jc w:val="center"/>
              <w:rPr>
                <w:rFonts w:cstheme="minorHAnsi"/>
              </w:rPr>
            </w:pPr>
            <w:r w:rsidRPr="00387653">
              <w:rPr>
                <w:rFonts w:cstheme="minorHAnsi"/>
              </w:rPr>
              <w:t>71.35%</w:t>
            </w:r>
          </w:p>
        </w:tc>
        <w:tc>
          <w:tcPr>
            <w:tcW w:w="1080" w:type="dxa"/>
            <w:vAlign w:val="center"/>
          </w:tcPr>
          <w:p w14:paraId="3F30079E" w14:textId="0DFA8FC4" w:rsidR="00B06DA6" w:rsidRPr="00387653" w:rsidRDefault="00201BF1" w:rsidP="00B60A65">
            <w:pPr>
              <w:pStyle w:val="NoSpacing"/>
              <w:jc w:val="center"/>
              <w:rPr>
                <w:rFonts w:cstheme="minorHAnsi"/>
              </w:rPr>
            </w:pPr>
            <w:r w:rsidRPr="00387653">
              <w:rPr>
                <w:rFonts w:cstheme="minorHAnsi"/>
              </w:rPr>
              <w:t>Did not meet target</w:t>
            </w:r>
          </w:p>
        </w:tc>
      </w:tr>
    </w:tbl>
    <w:p w14:paraId="00CE4C81" w14:textId="0559A252" w:rsidR="007152AE" w:rsidRPr="00387653" w:rsidRDefault="007152AE" w:rsidP="00A64EA0">
      <w:pPr>
        <w:pStyle w:val="NoSpacing"/>
        <w:rPr>
          <w:rFonts w:cstheme="minorHAnsi"/>
        </w:rPr>
      </w:pPr>
    </w:p>
    <w:p w14:paraId="484FEBF3" w14:textId="0DD4DCDC" w:rsidR="00201BF1" w:rsidRPr="00387653" w:rsidRDefault="00201BF1" w:rsidP="00201BF1">
      <w:pPr>
        <w:pStyle w:val="NoSpacing"/>
        <w:rPr>
          <w:rFonts w:cstheme="minorHAnsi"/>
        </w:rPr>
      </w:pPr>
      <w:r w:rsidRPr="00387653">
        <w:rPr>
          <w:rFonts w:cstheme="minorHAnsi"/>
        </w:rPr>
        <w:t>Indicator C3</w:t>
      </w:r>
      <w:r w:rsidR="0062532B" w:rsidRPr="00387653">
        <w:rPr>
          <w:rFonts w:cstheme="minorHAnsi"/>
        </w:rPr>
        <w:t>B</w:t>
      </w:r>
      <w:r w:rsidRPr="00387653">
        <w:rPr>
          <w:rFonts w:cstheme="minorHAnsi"/>
        </w:rPr>
        <w:t>: Child Outcomes</w:t>
      </w:r>
      <w:r w:rsidR="00990B29" w:rsidRPr="00387653">
        <w:rPr>
          <w:rFonts w:cstheme="minorHAnsi"/>
        </w:rPr>
        <w:t xml:space="preserve"> Percent of Infants and toddlers who demonstrate improved: </w:t>
      </w:r>
    </w:p>
    <w:tbl>
      <w:tblPr>
        <w:tblStyle w:val="TableGrid"/>
        <w:tblW w:w="10350" w:type="dxa"/>
        <w:tblInd w:w="-95" w:type="dxa"/>
        <w:tblLook w:val="04A0" w:firstRow="1" w:lastRow="0" w:firstColumn="1" w:lastColumn="0" w:noHBand="0" w:noVBand="1"/>
      </w:tblPr>
      <w:tblGrid>
        <w:gridCol w:w="6210"/>
        <w:gridCol w:w="990"/>
        <w:gridCol w:w="990"/>
        <w:gridCol w:w="1080"/>
        <w:gridCol w:w="1080"/>
      </w:tblGrid>
      <w:tr w:rsidR="00260812" w:rsidRPr="00387653" w14:paraId="35576A91" w14:textId="77777777" w:rsidTr="00AD6B70">
        <w:tc>
          <w:tcPr>
            <w:tcW w:w="6210" w:type="dxa"/>
            <w:vAlign w:val="center"/>
          </w:tcPr>
          <w:p w14:paraId="69C8F67F" w14:textId="4922FAA6" w:rsidR="00201BF1" w:rsidRPr="00387653" w:rsidRDefault="00260812" w:rsidP="00B60A65">
            <w:pPr>
              <w:pStyle w:val="NoSpacing"/>
              <w:numPr>
                <w:ilvl w:val="0"/>
                <w:numId w:val="1"/>
              </w:numPr>
              <w:rPr>
                <w:rFonts w:cstheme="minorHAnsi"/>
              </w:rPr>
            </w:pPr>
            <w:r w:rsidRPr="00387653">
              <w:rPr>
                <w:rFonts w:cstheme="minorHAnsi"/>
              </w:rPr>
              <w:t>Acquisition and use of knowledge and skills (including early language/communication).</w:t>
            </w:r>
          </w:p>
        </w:tc>
        <w:tc>
          <w:tcPr>
            <w:tcW w:w="990" w:type="dxa"/>
            <w:vAlign w:val="center"/>
          </w:tcPr>
          <w:p w14:paraId="5DA55EFF" w14:textId="77777777" w:rsidR="00201BF1" w:rsidRPr="00387653" w:rsidRDefault="00201BF1" w:rsidP="00B60A65">
            <w:pPr>
              <w:pStyle w:val="NoSpacing"/>
              <w:jc w:val="center"/>
              <w:rPr>
                <w:rFonts w:cstheme="minorHAnsi"/>
              </w:rPr>
            </w:pPr>
            <w:r w:rsidRPr="00387653">
              <w:rPr>
                <w:rFonts w:cstheme="minorHAnsi"/>
              </w:rPr>
              <w:t>FFY2020 Data</w:t>
            </w:r>
          </w:p>
        </w:tc>
        <w:tc>
          <w:tcPr>
            <w:tcW w:w="990" w:type="dxa"/>
            <w:vAlign w:val="center"/>
          </w:tcPr>
          <w:p w14:paraId="2C3A35F4" w14:textId="77777777" w:rsidR="00201BF1" w:rsidRPr="00387653" w:rsidRDefault="00201BF1" w:rsidP="00B60A65">
            <w:pPr>
              <w:pStyle w:val="NoSpacing"/>
              <w:jc w:val="center"/>
              <w:rPr>
                <w:rFonts w:cstheme="minorHAnsi"/>
              </w:rPr>
            </w:pPr>
            <w:r w:rsidRPr="00387653">
              <w:rPr>
                <w:rFonts w:cstheme="minorHAnsi"/>
              </w:rPr>
              <w:t>FFY2021 Target</w:t>
            </w:r>
          </w:p>
        </w:tc>
        <w:tc>
          <w:tcPr>
            <w:tcW w:w="1080" w:type="dxa"/>
            <w:vAlign w:val="center"/>
          </w:tcPr>
          <w:p w14:paraId="503498E6" w14:textId="77777777" w:rsidR="00201BF1" w:rsidRPr="00387653" w:rsidRDefault="00201BF1" w:rsidP="00B60A65">
            <w:pPr>
              <w:pStyle w:val="NoSpacing"/>
              <w:jc w:val="center"/>
              <w:rPr>
                <w:rFonts w:cstheme="minorHAnsi"/>
              </w:rPr>
            </w:pPr>
            <w:r w:rsidRPr="00387653">
              <w:rPr>
                <w:rFonts w:cstheme="minorHAnsi"/>
              </w:rPr>
              <w:t>FFY2021 Data</w:t>
            </w:r>
          </w:p>
        </w:tc>
        <w:tc>
          <w:tcPr>
            <w:tcW w:w="1080" w:type="dxa"/>
            <w:vAlign w:val="center"/>
          </w:tcPr>
          <w:p w14:paraId="0CDA7F6F" w14:textId="77777777" w:rsidR="00201BF1" w:rsidRPr="00387653" w:rsidRDefault="00201BF1" w:rsidP="00B60A65">
            <w:pPr>
              <w:pStyle w:val="NoSpacing"/>
              <w:jc w:val="center"/>
              <w:rPr>
                <w:rFonts w:cstheme="minorHAnsi"/>
              </w:rPr>
            </w:pPr>
            <w:r w:rsidRPr="00387653">
              <w:rPr>
                <w:rFonts w:cstheme="minorHAnsi"/>
              </w:rPr>
              <w:t>Status</w:t>
            </w:r>
          </w:p>
        </w:tc>
      </w:tr>
      <w:tr w:rsidR="00260812" w:rsidRPr="00387653" w14:paraId="3BF0D6DD" w14:textId="77777777" w:rsidTr="00AD6B70">
        <w:tc>
          <w:tcPr>
            <w:tcW w:w="6210" w:type="dxa"/>
            <w:vAlign w:val="center"/>
          </w:tcPr>
          <w:p w14:paraId="759FFAB7" w14:textId="77777777" w:rsidR="00201BF1" w:rsidRPr="00387653" w:rsidRDefault="00201BF1" w:rsidP="00B60A65">
            <w:pPr>
              <w:pStyle w:val="NoSpacing"/>
              <w:rPr>
                <w:rFonts w:cstheme="minorHAnsi"/>
              </w:rPr>
            </w:pPr>
            <w:r w:rsidRPr="00A527C9">
              <w:rPr>
                <w:rFonts w:cstheme="minorHAnsi"/>
              </w:rPr>
              <w:t xml:space="preserve">SS1 Of those children who entered or exited the program below age expectation, the % who substantially increased their rate of growth by the time they turned 3 years of age or exited the program. </w:t>
            </w:r>
          </w:p>
        </w:tc>
        <w:tc>
          <w:tcPr>
            <w:tcW w:w="990" w:type="dxa"/>
            <w:vAlign w:val="center"/>
          </w:tcPr>
          <w:p w14:paraId="1562279C" w14:textId="3ECAA0B0" w:rsidR="00201BF1" w:rsidRPr="00387653" w:rsidRDefault="00260812" w:rsidP="00B60A65">
            <w:pPr>
              <w:pStyle w:val="NoSpacing"/>
              <w:jc w:val="center"/>
              <w:rPr>
                <w:rFonts w:cstheme="minorHAnsi"/>
              </w:rPr>
            </w:pPr>
            <w:r w:rsidRPr="00387653">
              <w:rPr>
                <w:rFonts w:cstheme="minorHAnsi"/>
              </w:rPr>
              <w:t>75.00%</w:t>
            </w:r>
          </w:p>
        </w:tc>
        <w:tc>
          <w:tcPr>
            <w:tcW w:w="990" w:type="dxa"/>
            <w:vAlign w:val="center"/>
          </w:tcPr>
          <w:p w14:paraId="71963927" w14:textId="27A15A5A" w:rsidR="00201BF1" w:rsidRPr="00387653" w:rsidRDefault="00260812" w:rsidP="00B60A65">
            <w:pPr>
              <w:pStyle w:val="NoSpacing"/>
              <w:jc w:val="center"/>
              <w:rPr>
                <w:rFonts w:cstheme="minorHAnsi"/>
              </w:rPr>
            </w:pPr>
            <w:r w:rsidRPr="00387653">
              <w:rPr>
                <w:rFonts w:cstheme="minorHAnsi"/>
              </w:rPr>
              <w:t>75.00%</w:t>
            </w:r>
          </w:p>
        </w:tc>
        <w:tc>
          <w:tcPr>
            <w:tcW w:w="1080" w:type="dxa"/>
            <w:vAlign w:val="center"/>
          </w:tcPr>
          <w:p w14:paraId="2B1B70D3" w14:textId="31EF6646" w:rsidR="00201BF1" w:rsidRPr="00387653" w:rsidRDefault="00260812" w:rsidP="00B60A65">
            <w:pPr>
              <w:pStyle w:val="NoSpacing"/>
              <w:jc w:val="center"/>
              <w:rPr>
                <w:rFonts w:cstheme="minorHAnsi"/>
              </w:rPr>
            </w:pPr>
            <w:r w:rsidRPr="00387653">
              <w:rPr>
                <w:rFonts w:cstheme="minorHAnsi"/>
              </w:rPr>
              <w:t>74</w:t>
            </w:r>
            <w:r w:rsidR="000B62B4" w:rsidRPr="00387653">
              <w:rPr>
                <w:rFonts w:cstheme="minorHAnsi"/>
              </w:rPr>
              <w:t>.16%</w:t>
            </w:r>
          </w:p>
        </w:tc>
        <w:tc>
          <w:tcPr>
            <w:tcW w:w="1080" w:type="dxa"/>
            <w:vAlign w:val="center"/>
          </w:tcPr>
          <w:p w14:paraId="56C4189B" w14:textId="7DA0C60D" w:rsidR="00201BF1" w:rsidRPr="00387653" w:rsidRDefault="000B62B4" w:rsidP="00B60A65">
            <w:pPr>
              <w:pStyle w:val="NoSpacing"/>
              <w:jc w:val="center"/>
              <w:rPr>
                <w:rFonts w:cstheme="minorHAnsi"/>
              </w:rPr>
            </w:pPr>
            <w:r w:rsidRPr="00387653">
              <w:rPr>
                <w:rFonts w:cstheme="minorHAnsi"/>
              </w:rPr>
              <w:t>Did not meet target</w:t>
            </w:r>
          </w:p>
        </w:tc>
      </w:tr>
      <w:tr w:rsidR="00260812" w:rsidRPr="00387653" w14:paraId="448B2E0B" w14:textId="77777777" w:rsidTr="00AD6B70">
        <w:tc>
          <w:tcPr>
            <w:tcW w:w="6210" w:type="dxa"/>
            <w:vAlign w:val="center"/>
          </w:tcPr>
          <w:p w14:paraId="216FACFC" w14:textId="77777777" w:rsidR="00201BF1" w:rsidRPr="00387653" w:rsidRDefault="00201BF1" w:rsidP="00B60A65">
            <w:pPr>
              <w:pStyle w:val="NoSpacing"/>
              <w:rPr>
                <w:rFonts w:cstheme="minorHAnsi"/>
              </w:rPr>
            </w:pPr>
            <w:r w:rsidRPr="00753B8D">
              <w:rPr>
                <w:rFonts w:cstheme="minorHAnsi"/>
              </w:rPr>
              <w:t>SS</w:t>
            </w:r>
            <w:proofErr w:type="gramStart"/>
            <w:r w:rsidRPr="00753B8D">
              <w:rPr>
                <w:rFonts w:cstheme="minorHAnsi"/>
              </w:rPr>
              <w:t>2  The</w:t>
            </w:r>
            <w:proofErr w:type="gramEnd"/>
            <w:r w:rsidRPr="00753B8D">
              <w:rPr>
                <w:rFonts w:cstheme="minorHAnsi"/>
              </w:rPr>
              <w:t xml:space="preserve"> percent of infants and toddlers who were functioning within age expectations  by the time they turned 3 years of age or exited the program.  </w:t>
            </w:r>
          </w:p>
        </w:tc>
        <w:tc>
          <w:tcPr>
            <w:tcW w:w="990" w:type="dxa"/>
            <w:vAlign w:val="center"/>
          </w:tcPr>
          <w:p w14:paraId="544C0B13" w14:textId="14D93A2F" w:rsidR="00201BF1" w:rsidRPr="00387653" w:rsidRDefault="000B62B4" w:rsidP="00B60A65">
            <w:pPr>
              <w:pStyle w:val="NoSpacing"/>
              <w:jc w:val="center"/>
              <w:rPr>
                <w:rFonts w:cstheme="minorHAnsi"/>
              </w:rPr>
            </w:pPr>
            <w:r w:rsidRPr="00387653">
              <w:rPr>
                <w:rFonts w:cstheme="minorHAnsi"/>
              </w:rPr>
              <w:t>54.76%</w:t>
            </w:r>
          </w:p>
        </w:tc>
        <w:tc>
          <w:tcPr>
            <w:tcW w:w="990" w:type="dxa"/>
            <w:vAlign w:val="center"/>
          </w:tcPr>
          <w:p w14:paraId="0451B558" w14:textId="79D84ACD" w:rsidR="00201BF1" w:rsidRPr="00387653" w:rsidRDefault="000B62B4" w:rsidP="00B60A65">
            <w:pPr>
              <w:pStyle w:val="NoSpacing"/>
              <w:jc w:val="center"/>
              <w:rPr>
                <w:rFonts w:cstheme="minorHAnsi"/>
              </w:rPr>
            </w:pPr>
            <w:r w:rsidRPr="00387653">
              <w:rPr>
                <w:rFonts w:cstheme="minorHAnsi"/>
              </w:rPr>
              <w:t>53.40%</w:t>
            </w:r>
          </w:p>
        </w:tc>
        <w:tc>
          <w:tcPr>
            <w:tcW w:w="1080" w:type="dxa"/>
            <w:vAlign w:val="center"/>
          </w:tcPr>
          <w:p w14:paraId="4DA6917D" w14:textId="348ABA6B" w:rsidR="00201BF1" w:rsidRPr="00387653" w:rsidRDefault="000B62B4" w:rsidP="00B60A65">
            <w:pPr>
              <w:pStyle w:val="NoSpacing"/>
              <w:jc w:val="center"/>
              <w:rPr>
                <w:rFonts w:cstheme="minorHAnsi"/>
              </w:rPr>
            </w:pPr>
            <w:r w:rsidRPr="00387653">
              <w:rPr>
                <w:rFonts w:cstheme="minorHAnsi"/>
              </w:rPr>
              <w:t>57.30%</w:t>
            </w:r>
          </w:p>
        </w:tc>
        <w:tc>
          <w:tcPr>
            <w:tcW w:w="1080" w:type="dxa"/>
            <w:vAlign w:val="center"/>
          </w:tcPr>
          <w:p w14:paraId="0A283BCF" w14:textId="30797929" w:rsidR="00201BF1" w:rsidRPr="00387653" w:rsidRDefault="000B62B4" w:rsidP="00B60A65">
            <w:pPr>
              <w:pStyle w:val="NoSpacing"/>
              <w:jc w:val="center"/>
              <w:rPr>
                <w:rFonts w:cstheme="minorHAnsi"/>
              </w:rPr>
            </w:pPr>
            <w:r w:rsidRPr="00387653">
              <w:rPr>
                <w:rFonts w:cstheme="minorHAnsi"/>
              </w:rPr>
              <w:t>Met target</w:t>
            </w:r>
          </w:p>
        </w:tc>
      </w:tr>
    </w:tbl>
    <w:p w14:paraId="210D7645" w14:textId="14E844FA" w:rsidR="00201BF1" w:rsidRDefault="00201BF1" w:rsidP="00A64EA0">
      <w:pPr>
        <w:pStyle w:val="NoSpacing"/>
        <w:rPr>
          <w:rFonts w:cstheme="minorHAnsi"/>
        </w:rPr>
      </w:pPr>
    </w:p>
    <w:p w14:paraId="2DAADB4D" w14:textId="0EABE075" w:rsidR="00836D55" w:rsidRDefault="00836D55" w:rsidP="00A64EA0">
      <w:pPr>
        <w:pStyle w:val="NoSpacing"/>
        <w:rPr>
          <w:rFonts w:cstheme="minorHAnsi"/>
        </w:rPr>
      </w:pPr>
    </w:p>
    <w:p w14:paraId="72CEA6EB" w14:textId="7CE66AF8" w:rsidR="00836D55" w:rsidRDefault="00836D55" w:rsidP="00A64EA0">
      <w:pPr>
        <w:pStyle w:val="NoSpacing"/>
        <w:rPr>
          <w:rFonts w:cstheme="minorHAnsi"/>
        </w:rPr>
      </w:pPr>
    </w:p>
    <w:p w14:paraId="2EA2B7FC" w14:textId="33791D2F" w:rsidR="00836D55" w:rsidRDefault="00836D55" w:rsidP="00A64EA0">
      <w:pPr>
        <w:pStyle w:val="NoSpacing"/>
        <w:rPr>
          <w:rFonts w:cstheme="minorHAnsi"/>
        </w:rPr>
      </w:pPr>
    </w:p>
    <w:p w14:paraId="4861575C" w14:textId="5961429B" w:rsidR="00836D55" w:rsidRDefault="00836D55" w:rsidP="00A64EA0">
      <w:pPr>
        <w:pStyle w:val="NoSpacing"/>
        <w:rPr>
          <w:rFonts w:cstheme="minorHAnsi"/>
        </w:rPr>
      </w:pPr>
    </w:p>
    <w:p w14:paraId="03451A84" w14:textId="0D16E424" w:rsidR="00836D55" w:rsidRDefault="00836D55" w:rsidP="00A64EA0">
      <w:pPr>
        <w:pStyle w:val="NoSpacing"/>
        <w:rPr>
          <w:rFonts w:cstheme="minorHAnsi"/>
        </w:rPr>
      </w:pPr>
    </w:p>
    <w:p w14:paraId="423AF6AC" w14:textId="77777777" w:rsidR="00836D55" w:rsidRPr="00387653" w:rsidRDefault="00836D55" w:rsidP="00A64EA0">
      <w:pPr>
        <w:pStyle w:val="NoSpacing"/>
        <w:rPr>
          <w:rFonts w:cstheme="minorHAnsi"/>
        </w:rPr>
      </w:pPr>
    </w:p>
    <w:p w14:paraId="01466A80" w14:textId="196C6A49" w:rsidR="00CB02A4" w:rsidRPr="00387653" w:rsidRDefault="00CB02A4" w:rsidP="00CB02A4">
      <w:pPr>
        <w:pStyle w:val="NoSpacing"/>
        <w:rPr>
          <w:rFonts w:cstheme="minorHAnsi"/>
        </w:rPr>
      </w:pPr>
      <w:r w:rsidRPr="00387653">
        <w:rPr>
          <w:rFonts w:cstheme="minorHAnsi"/>
        </w:rPr>
        <w:t>Indicator C3</w:t>
      </w:r>
      <w:r w:rsidR="00990B29" w:rsidRPr="00387653">
        <w:rPr>
          <w:rFonts w:cstheme="minorHAnsi"/>
        </w:rPr>
        <w:t>C</w:t>
      </w:r>
      <w:r w:rsidR="0062532B" w:rsidRPr="00387653">
        <w:rPr>
          <w:rFonts w:cstheme="minorHAnsi"/>
        </w:rPr>
        <w:t>:</w:t>
      </w:r>
      <w:r w:rsidRPr="00387653">
        <w:rPr>
          <w:rFonts w:cstheme="minorHAnsi"/>
        </w:rPr>
        <w:t xml:space="preserve"> Child Outcomes</w:t>
      </w:r>
      <w:r w:rsidR="00990B29" w:rsidRPr="00387653">
        <w:rPr>
          <w:rFonts w:cstheme="minorHAnsi"/>
        </w:rPr>
        <w:t xml:space="preserve"> Percent of Infants and toddlers who demonstrate improved: </w:t>
      </w:r>
    </w:p>
    <w:tbl>
      <w:tblPr>
        <w:tblStyle w:val="TableGrid"/>
        <w:tblW w:w="10350" w:type="dxa"/>
        <w:tblInd w:w="-95" w:type="dxa"/>
        <w:tblLook w:val="04A0" w:firstRow="1" w:lastRow="0" w:firstColumn="1" w:lastColumn="0" w:noHBand="0" w:noVBand="1"/>
      </w:tblPr>
      <w:tblGrid>
        <w:gridCol w:w="6210"/>
        <w:gridCol w:w="990"/>
        <w:gridCol w:w="990"/>
        <w:gridCol w:w="1080"/>
        <w:gridCol w:w="1080"/>
      </w:tblGrid>
      <w:tr w:rsidR="00CB02A4" w:rsidRPr="00387653" w14:paraId="00B97685" w14:textId="77777777" w:rsidTr="00AD6B70">
        <w:tc>
          <w:tcPr>
            <w:tcW w:w="6210" w:type="dxa"/>
            <w:vAlign w:val="center"/>
          </w:tcPr>
          <w:p w14:paraId="45C367F5" w14:textId="77777777" w:rsidR="00CB02A4" w:rsidRPr="00387653" w:rsidRDefault="00CB02A4" w:rsidP="00CB02A4">
            <w:pPr>
              <w:pStyle w:val="NoSpacing"/>
              <w:numPr>
                <w:ilvl w:val="0"/>
                <w:numId w:val="1"/>
              </w:numPr>
              <w:rPr>
                <w:rFonts w:cstheme="minorHAnsi"/>
              </w:rPr>
            </w:pPr>
            <w:r w:rsidRPr="00387653">
              <w:rPr>
                <w:rFonts w:cstheme="minorHAnsi"/>
              </w:rPr>
              <w:t>Acquisition and use of knowledge and skills (including early language/communication).</w:t>
            </w:r>
          </w:p>
        </w:tc>
        <w:tc>
          <w:tcPr>
            <w:tcW w:w="990" w:type="dxa"/>
            <w:vAlign w:val="center"/>
          </w:tcPr>
          <w:p w14:paraId="7477F1C2" w14:textId="77777777" w:rsidR="00CB02A4" w:rsidRPr="00387653" w:rsidRDefault="00CB02A4" w:rsidP="00B60A65">
            <w:pPr>
              <w:pStyle w:val="NoSpacing"/>
              <w:jc w:val="center"/>
              <w:rPr>
                <w:rFonts w:cstheme="minorHAnsi"/>
              </w:rPr>
            </w:pPr>
            <w:r w:rsidRPr="00387653">
              <w:rPr>
                <w:rFonts w:cstheme="minorHAnsi"/>
              </w:rPr>
              <w:t>FFY2020 Data</w:t>
            </w:r>
          </w:p>
        </w:tc>
        <w:tc>
          <w:tcPr>
            <w:tcW w:w="990" w:type="dxa"/>
            <w:vAlign w:val="center"/>
          </w:tcPr>
          <w:p w14:paraId="38829291" w14:textId="77777777" w:rsidR="00CB02A4" w:rsidRPr="00387653" w:rsidRDefault="00CB02A4" w:rsidP="00B60A65">
            <w:pPr>
              <w:pStyle w:val="NoSpacing"/>
              <w:jc w:val="center"/>
              <w:rPr>
                <w:rFonts w:cstheme="minorHAnsi"/>
              </w:rPr>
            </w:pPr>
            <w:r w:rsidRPr="00387653">
              <w:rPr>
                <w:rFonts w:cstheme="minorHAnsi"/>
              </w:rPr>
              <w:t>FFY2021 Target</w:t>
            </w:r>
          </w:p>
        </w:tc>
        <w:tc>
          <w:tcPr>
            <w:tcW w:w="1080" w:type="dxa"/>
            <w:vAlign w:val="center"/>
          </w:tcPr>
          <w:p w14:paraId="043D9E85" w14:textId="77777777" w:rsidR="00CB02A4" w:rsidRPr="00387653" w:rsidRDefault="00CB02A4" w:rsidP="00B60A65">
            <w:pPr>
              <w:pStyle w:val="NoSpacing"/>
              <w:jc w:val="center"/>
              <w:rPr>
                <w:rFonts w:cstheme="minorHAnsi"/>
              </w:rPr>
            </w:pPr>
            <w:r w:rsidRPr="00387653">
              <w:rPr>
                <w:rFonts w:cstheme="minorHAnsi"/>
              </w:rPr>
              <w:t>FFY2021 Data</w:t>
            </w:r>
          </w:p>
        </w:tc>
        <w:tc>
          <w:tcPr>
            <w:tcW w:w="1080" w:type="dxa"/>
            <w:vAlign w:val="center"/>
          </w:tcPr>
          <w:p w14:paraId="4AF6FFA0" w14:textId="77777777" w:rsidR="00CB02A4" w:rsidRPr="00387653" w:rsidRDefault="00CB02A4" w:rsidP="00B60A65">
            <w:pPr>
              <w:pStyle w:val="NoSpacing"/>
              <w:jc w:val="center"/>
              <w:rPr>
                <w:rFonts w:cstheme="minorHAnsi"/>
              </w:rPr>
            </w:pPr>
            <w:r w:rsidRPr="00387653">
              <w:rPr>
                <w:rFonts w:cstheme="minorHAnsi"/>
              </w:rPr>
              <w:t>Status</w:t>
            </w:r>
          </w:p>
        </w:tc>
      </w:tr>
      <w:tr w:rsidR="00CB02A4" w:rsidRPr="00387653" w14:paraId="270AC477" w14:textId="77777777" w:rsidTr="00AD6B70">
        <w:tc>
          <w:tcPr>
            <w:tcW w:w="6210" w:type="dxa"/>
            <w:vAlign w:val="center"/>
          </w:tcPr>
          <w:p w14:paraId="6604742D" w14:textId="77777777" w:rsidR="00CB02A4" w:rsidRPr="00387653" w:rsidRDefault="00CB02A4" w:rsidP="00B60A65">
            <w:pPr>
              <w:pStyle w:val="NoSpacing"/>
              <w:rPr>
                <w:rFonts w:cstheme="minorHAnsi"/>
              </w:rPr>
            </w:pPr>
            <w:r w:rsidRPr="00A527C9">
              <w:rPr>
                <w:rFonts w:cstheme="minorHAnsi"/>
              </w:rPr>
              <w:t xml:space="preserve">SS1 Of those children who entered or exited the program below age expectation, the % who substantially increased their rate of growth by the time they turned 3 years of age or exited the program. </w:t>
            </w:r>
          </w:p>
        </w:tc>
        <w:tc>
          <w:tcPr>
            <w:tcW w:w="990" w:type="dxa"/>
            <w:vAlign w:val="center"/>
          </w:tcPr>
          <w:p w14:paraId="53E9D477" w14:textId="7F1248DF" w:rsidR="00CB02A4" w:rsidRPr="00387653" w:rsidRDefault="00393065" w:rsidP="00B60A65">
            <w:pPr>
              <w:pStyle w:val="NoSpacing"/>
              <w:jc w:val="center"/>
              <w:rPr>
                <w:rFonts w:cstheme="minorHAnsi"/>
              </w:rPr>
            </w:pPr>
            <w:r w:rsidRPr="00387653">
              <w:rPr>
                <w:rFonts w:cstheme="minorHAnsi"/>
              </w:rPr>
              <w:t>91.21%</w:t>
            </w:r>
          </w:p>
        </w:tc>
        <w:tc>
          <w:tcPr>
            <w:tcW w:w="990" w:type="dxa"/>
            <w:vAlign w:val="center"/>
          </w:tcPr>
          <w:p w14:paraId="4C88B0AC" w14:textId="38D22D33" w:rsidR="00CB02A4" w:rsidRPr="00387653" w:rsidRDefault="00393065" w:rsidP="00B60A65">
            <w:pPr>
              <w:pStyle w:val="NoSpacing"/>
              <w:jc w:val="center"/>
              <w:rPr>
                <w:rFonts w:cstheme="minorHAnsi"/>
              </w:rPr>
            </w:pPr>
            <w:r w:rsidRPr="00387653">
              <w:rPr>
                <w:rFonts w:cstheme="minorHAnsi"/>
              </w:rPr>
              <w:t>91.25%</w:t>
            </w:r>
          </w:p>
        </w:tc>
        <w:tc>
          <w:tcPr>
            <w:tcW w:w="1080" w:type="dxa"/>
            <w:vAlign w:val="center"/>
          </w:tcPr>
          <w:p w14:paraId="32EE8F5A" w14:textId="3DE32B87" w:rsidR="00CB02A4" w:rsidRPr="00387653" w:rsidRDefault="00393065" w:rsidP="00B60A65">
            <w:pPr>
              <w:pStyle w:val="NoSpacing"/>
              <w:jc w:val="center"/>
              <w:rPr>
                <w:rFonts w:cstheme="minorHAnsi"/>
              </w:rPr>
            </w:pPr>
            <w:r w:rsidRPr="00387653">
              <w:rPr>
                <w:rFonts w:cstheme="minorHAnsi"/>
              </w:rPr>
              <w:t>88.76%</w:t>
            </w:r>
          </w:p>
        </w:tc>
        <w:tc>
          <w:tcPr>
            <w:tcW w:w="1080" w:type="dxa"/>
            <w:vAlign w:val="center"/>
          </w:tcPr>
          <w:p w14:paraId="04FE3382" w14:textId="77777777" w:rsidR="00CB02A4" w:rsidRPr="00387653" w:rsidRDefault="00CB02A4" w:rsidP="00B60A65">
            <w:pPr>
              <w:pStyle w:val="NoSpacing"/>
              <w:jc w:val="center"/>
              <w:rPr>
                <w:rFonts w:cstheme="minorHAnsi"/>
              </w:rPr>
            </w:pPr>
            <w:r w:rsidRPr="00387653">
              <w:rPr>
                <w:rFonts w:cstheme="minorHAnsi"/>
              </w:rPr>
              <w:t>Did not meet target</w:t>
            </w:r>
          </w:p>
        </w:tc>
      </w:tr>
      <w:tr w:rsidR="00CB02A4" w:rsidRPr="00387653" w14:paraId="3CFCE541" w14:textId="77777777" w:rsidTr="00AD6B70">
        <w:tc>
          <w:tcPr>
            <w:tcW w:w="6210" w:type="dxa"/>
            <w:vAlign w:val="center"/>
          </w:tcPr>
          <w:p w14:paraId="631FD295" w14:textId="77777777" w:rsidR="00CB02A4" w:rsidRPr="00387653" w:rsidRDefault="00CB02A4" w:rsidP="00B60A65">
            <w:pPr>
              <w:pStyle w:val="NoSpacing"/>
              <w:rPr>
                <w:rFonts w:cstheme="minorHAnsi"/>
              </w:rPr>
            </w:pPr>
            <w:r w:rsidRPr="00753B8D">
              <w:rPr>
                <w:rFonts w:cstheme="minorHAnsi"/>
              </w:rPr>
              <w:t>SS</w:t>
            </w:r>
            <w:proofErr w:type="gramStart"/>
            <w:r w:rsidRPr="00753B8D">
              <w:rPr>
                <w:rFonts w:cstheme="minorHAnsi"/>
              </w:rPr>
              <w:t>2  The</w:t>
            </w:r>
            <w:proofErr w:type="gramEnd"/>
            <w:r w:rsidRPr="00753B8D">
              <w:rPr>
                <w:rFonts w:cstheme="minorHAnsi"/>
              </w:rPr>
              <w:t xml:space="preserve"> percent of infants and toddlers who were functioning within age expectations  by the time they turned 3 years of age or exited the program.  </w:t>
            </w:r>
          </w:p>
        </w:tc>
        <w:tc>
          <w:tcPr>
            <w:tcW w:w="990" w:type="dxa"/>
            <w:vAlign w:val="center"/>
          </w:tcPr>
          <w:p w14:paraId="56DE97A9" w14:textId="45610082" w:rsidR="00CB02A4" w:rsidRPr="00387653" w:rsidRDefault="00393065" w:rsidP="00B60A65">
            <w:pPr>
              <w:pStyle w:val="NoSpacing"/>
              <w:jc w:val="center"/>
              <w:rPr>
                <w:rFonts w:cstheme="minorHAnsi"/>
              </w:rPr>
            </w:pPr>
            <w:r w:rsidRPr="00387653">
              <w:rPr>
                <w:rFonts w:cstheme="minorHAnsi"/>
              </w:rPr>
              <w:t>81.80%</w:t>
            </w:r>
          </w:p>
        </w:tc>
        <w:tc>
          <w:tcPr>
            <w:tcW w:w="990" w:type="dxa"/>
            <w:vAlign w:val="center"/>
          </w:tcPr>
          <w:p w14:paraId="346D2010" w14:textId="7DD6AC29" w:rsidR="00CB02A4" w:rsidRPr="00387653" w:rsidRDefault="00393065" w:rsidP="00B60A65">
            <w:pPr>
              <w:pStyle w:val="NoSpacing"/>
              <w:jc w:val="center"/>
              <w:rPr>
                <w:rFonts w:cstheme="minorHAnsi"/>
              </w:rPr>
            </w:pPr>
            <w:r w:rsidRPr="00387653">
              <w:rPr>
                <w:rFonts w:cstheme="minorHAnsi"/>
              </w:rPr>
              <w:t>81.90%</w:t>
            </w:r>
          </w:p>
        </w:tc>
        <w:tc>
          <w:tcPr>
            <w:tcW w:w="1080" w:type="dxa"/>
            <w:vAlign w:val="center"/>
          </w:tcPr>
          <w:p w14:paraId="5973CE58" w14:textId="6A0EE7EA" w:rsidR="00CB02A4" w:rsidRPr="00387653" w:rsidRDefault="00393065" w:rsidP="00B60A65">
            <w:pPr>
              <w:pStyle w:val="NoSpacing"/>
              <w:jc w:val="center"/>
              <w:rPr>
                <w:rFonts w:cstheme="minorHAnsi"/>
              </w:rPr>
            </w:pPr>
            <w:r w:rsidRPr="00387653">
              <w:rPr>
                <w:rFonts w:cstheme="minorHAnsi"/>
              </w:rPr>
              <w:t>77.82%</w:t>
            </w:r>
          </w:p>
        </w:tc>
        <w:tc>
          <w:tcPr>
            <w:tcW w:w="1080" w:type="dxa"/>
            <w:vAlign w:val="center"/>
          </w:tcPr>
          <w:p w14:paraId="4ABFD937" w14:textId="7ED73F87" w:rsidR="00CB02A4" w:rsidRPr="00387653" w:rsidRDefault="00393065" w:rsidP="00B60A65">
            <w:pPr>
              <w:pStyle w:val="NoSpacing"/>
              <w:jc w:val="center"/>
              <w:rPr>
                <w:rFonts w:cstheme="minorHAnsi"/>
              </w:rPr>
            </w:pPr>
            <w:r w:rsidRPr="00387653">
              <w:rPr>
                <w:rFonts w:cstheme="minorHAnsi"/>
              </w:rPr>
              <w:t>Did not meet target</w:t>
            </w:r>
          </w:p>
        </w:tc>
      </w:tr>
    </w:tbl>
    <w:p w14:paraId="64FE392F" w14:textId="77777777" w:rsidR="00393065" w:rsidRPr="00387653" w:rsidRDefault="00393065" w:rsidP="00A64EA0">
      <w:pPr>
        <w:pStyle w:val="NoSpacing"/>
        <w:rPr>
          <w:rFonts w:cstheme="minorHAnsi"/>
        </w:rPr>
      </w:pPr>
    </w:p>
    <w:p w14:paraId="5AB4D2C5" w14:textId="08635839" w:rsidR="007152AE" w:rsidRPr="00387653" w:rsidRDefault="007152AE" w:rsidP="00A64EA0">
      <w:pPr>
        <w:pStyle w:val="NoSpacing"/>
        <w:rPr>
          <w:rFonts w:cstheme="minorHAnsi"/>
        </w:rPr>
      </w:pPr>
      <w:r w:rsidRPr="00387653">
        <w:rPr>
          <w:rFonts w:cstheme="minorHAnsi"/>
        </w:rPr>
        <w:t xml:space="preserve">State team </w:t>
      </w:r>
      <w:r w:rsidR="00393065" w:rsidRPr="00387653">
        <w:rPr>
          <w:rFonts w:cstheme="minorHAnsi"/>
        </w:rPr>
        <w:t xml:space="preserve">informed </w:t>
      </w:r>
      <w:r w:rsidR="007A533C" w:rsidRPr="00387653">
        <w:rPr>
          <w:rFonts w:cstheme="minorHAnsi"/>
        </w:rPr>
        <w:t xml:space="preserve">SICC members the state Part C (Birth to Three) program along with Part B 619 were transitioning from </w:t>
      </w:r>
      <w:r w:rsidR="00567BE0" w:rsidRPr="00387653">
        <w:rPr>
          <w:rFonts w:cstheme="minorHAnsi"/>
        </w:rPr>
        <w:t>the Battelle Developmental Inventory Second Edition (BDI-2) to the Battelle Developmental Inventory Third Edition (BDI-3)</w:t>
      </w:r>
      <w:r w:rsidR="00F3616F" w:rsidRPr="00387653">
        <w:rPr>
          <w:rFonts w:cstheme="minorHAnsi"/>
        </w:rPr>
        <w:t xml:space="preserve">. During FFY2021 reporting period both tools were used </w:t>
      </w:r>
      <w:r w:rsidR="009D5E3F" w:rsidRPr="00387653">
        <w:rPr>
          <w:rFonts w:cstheme="minorHAnsi"/>
        </w:rPr>
        <w:t>and would be until fully transitioned to the BDI-3.  During the reporting year, the state noted a decline in completion rat</w:t>
      </w:r>
      <w:r w:rsidR="00F804A0" w:rsidRPr="00387653">
        <w:rPr>
          <w:rFonts w:cstheme="minorHAnsi"/>
        </w:rPr>
        <w:t xml:space="preserve">e and would be working with partners to rectify this for the coming year.  </w:t>
      </w:r>
      <w:r w:rsidR="00776B8B" w:rsidRPr="00387653">
        <w:rPr>
          <w:rFonts w:cstheme="minorHAnsi"/>
        </w:rPr>
        <w:t xml:space="preserve">The state noted this is the first time in several years the program has not met all the targets for this indicator and </w:t>
      </w:r>
      <w:r w:rsidR="00043A3E" w:rsidRPr="00387653">
        <w:rPr>
          <w:rFonts w:cstheme="minorHAnsi"/>
        </w:rPr>
        <w:t xml:space="preserve">will be diving deeper into the cause for the shift.  </w:t>
      </w:r>
    </w:p>
    <w:p w14:paraId="5F945756" w14:textId="77777777" w:rsidR="00043A3E" w:rsidRPr="00387653" w:rsidRDefault="00043A3E" w:rsidP="00A64EA0">
      <w:pPr>
        <w:pStyle w:val="NoSpacing"/>
        <w:rPr>
          <w:rFonts w:cstheme="minorHAnsi"/>
        </w:rPr>
      </w:pPr>
    </w:p>
    <w:p w14:paraId="683ECA2A" w14:textId="0DACD6CB" w:rsidR="00043A3E" w:rsidRPr="00387653" w:rsidRDefault="00043A3E" w:rsidP="00A64EA0">
      <w:pPr>
        <w:pStyle w:val="NoSpacing"/>
        <w:rPr>
          <w:rFonts w:cstheme="minorHAnsi"/>
        </w:rPr>
      </w:pPr>
      <w:r w:rsidRPr="00387653">
        <w:rPr>
          <w:rFonts w:cstheme="minorHAnsi"/>
        </w:rPr>
        <w:t xml:space="preserve">The state went on to express in spite of not meeting targets in Indicators C4 or C3 they did not recommend making any changes to the targets at this time.  Given the </w:t>
      </w:r>
      <w:r w:rsidR="00C81F31" w:rsidRPr="00387653">
        <w:rPr>
          <w:rFonts w:cstheme="minorHAnsi"/>
        </w:rPr>
        <w:t>multiple changes that took effect during the FFY2021 reporting year</w:t>
      </w:r>
      <w:r w:rsidR="009A3467" w:rsidRPr="00387653">
        <w:rPr>
          <w:rFonts w:cstheme="minorHAnsi"/>
        </w:rPr>
        <w:t xml:space="preserve">, the state believes additional reporting years of data are needed before a definitive change should be made to the targets.  </w:t>
      </w:r>
      <w:r w:rsidR="00B6444F" w:rsidRPr="00387653">
        <w:rPr>
          <w:rFonts w:cstheme="minorHAnsi"/>
        </w:rPr>
        <w:t xml:space="preserve">SICC members expressed </w:t>
      </w:r>
      <w:r w:rsidR="00076D26" w:rsidRPr="00387653">
        <w:rPr>
          <w:rFonts w:cstheme="minorHAnsi"/>
        </w:rPr>
        <w:t xml:space="preserve">consent with the state’s position.  SICC members expressed </w:t>
      </w:r>
      <w:r w:rsidR="001158E5" w:rsidRPr="00387653">
        <w:rPr>
          <w:rFonts w:cstheme="minorHAnsi"/>
        </w:rPr>
        <w:t xml:space="preserve">given the changes and the identified steps the state was planning another year of data would be beneficial before making changes. SICC </w:t>
      </w:r>
      <w:r w:rsidR="00D30E34" w:rsidRPr="00387653">
        <w:rPr>
          <w:rFonts w:cstheme="minorHAnsi"/>
        </w:rPr>
        <w:t xml:space="preserve">member </w:t>
      </w:r>
      <w:r w:rsidR="00363466" w:rsidRPr="00387653">
        <w:rPr>
          <w:rFonts w:cstheme="minorHAnsi"/>
        </w:rPr>
        <w:t xml:space="preserve">Deb Willert, Part </w:t>
      </w:r>
      <w:r w:rsidR="00D30E34" w:rsidRPr="00387653">
        <w:rPr>
          <w:rFonts w:cstheme="minorHAnsi"/>
        </w:rPr>
        <w:t>B 619</w:t>
      </w:r>
      <w:r w:rsidR="00363466" w:rsidRPr="00387653">
        <w:rPr>
          <w:rFonts w:cstheme="minorHAnsi"/>
        </w:rPr>
        <w:t xml:space="preserve"> coordinator</w:t>
      </w:r>
      <w:r w:rsidR="00D30E34" w:rsidRPr="00387653">
        <w:rPr>
          <w:rFonts w:cstheme="minorHAnsi"/>
        </w:rPr>
        <w:t>,</w:t>
      </w:r>
      <w:r w:rsidR="00363466" w:rsidRPr="00387653">
        <w:rPr>
          <w:rFonts w:cstheme="minorHAnsi"/>
        </w:rPr>
        <w:t xml:space="preserve"> expressed the Part B 619 program had experienced similar drops in performance and like Part C were not certain if it was due to the two tools being used. </w:t>
      </w:r>
      <w:r w:rsidR="00D30E34" w:rsidRPr="00387653">
        <w:rPr>
          <w:rFonts w:cstheme="minorHAnsi"/>
        </w:rPr>
        <w:t xml:space="preserve">The group unanimously agreed to leave targets as established and will review again next year.  </w:t>
      </w:r>
    </w:p>
    <w:p w14:paraId="3AB8E5D7" w14:textId="62563681" w:rsidR="00212FC0" w:rsidRPr="00387653" w:rsidRDefault="00212FC0" w:rsidP="00A64EA0">
      <w:pPr>
        <w:pStyle w:val="NoSpacing"/>
        <w:rPr>
          <w:rFonts w:cstheme="minorHAnsi"/>
        </w:rPr>
      </w:pPr>
    </w:p>
    <w:p w14:paraId="2075E50E" w14:textId="6C31F943" w:rsidR="00212FC0" w:rsidRPr="00387653" w:rsidRDefault="00212FC0" w:rsidP="00A64EA0">
      <w:pPr>
        <w:pStyle w:val="NoSpacing"/>
        <w:rPr>
          <w:rFonts w:cstheme="minorHAnsi"/>
        </w:rPr>
      </w:pPr>
      <w:r w:rsidRPr="00387653">
        <w:rPr>
          <w:rFonts w:cstheme="minorHAnsi"/>
          <w:b/>
          <w:bCs/>
        </w:rPr>
        <w:t>Birth to Three Program Updates</w:t>
      </w:r>
    </w:p>
    <w:p w14:paraId="543480BD" w14:textId="7BD3DC0F" w:rsidR="00212FC0" w:rsidRPr="00387653" w:rsidRDefault="00212FC0" w:rsidP="00A64EA0">
      <w:pPr>
        <w:pStyle w:val="NoSpacing"/>
        <w:rPr>
          <w:rFonts w:cstheme="minorHAnsi"/>
        </w:rPr>
      </w:pPr>
      <w:r w:rsidRPr="00387653">
        <w:rPr>
          <w:rFonts w:cstheme="minorHAnsi"/>
        </w:rPr>
        <w:t xml:space="preserve">Carter informed members the program will be posting an RFP for a new comprehensive data system. The work was progressing slower than had hoped but </w:t>
      </w:r>
      <w:r w:rsidR="00542A5B" w:rsidRPr="00387653">
        <w:rPr>
          <w:rFonts w:cstheme="minorHAnsi"/>
        </w:rPr>
        <w:t xml:space="preserve">the state was being thorough in ensuring all features were captured.  </w:t>
      </w:r>
      <w:r w:rsidR="00542A5B" w:rsidRPr="00387653">
        <w:rPr>
          <w:rFonts w:cstheme="minorHAnsi"/>
        </w:rPr>
        <w:lastRenderedPageBreak/>
        <w:t>Crystal Goeden, Birth to Three team member, notified members of a new service coordinator in the Center for Disabilities region.  This person will be serving Sioux Falls and surrounding areas.  Jennifer Kampmann</w:t>
      </w:r>
      <w:r w:rsidR="007069CB" w:rsidRPr="00387653">
        <w:rPr>
          <w:rFonts w:cstheme="minorHAnsi"/>
        </w:rPr>
        <w:t>, Birth to Three, acknowledged Cohort 10 of the Bright Beginnings training began January 9</w:t>
      </w:r>
      <w:r w:rsidR="007069CB" w:rsidRPr="00387653">
        <w:rPr>
          <w:rFonts w:cstheme="minorHAnsi"/>
          <w:vertAlign w:val="superscript"/>
        </w:rPr>
        <w:t>th</w:t>
      </w:r>
      <w:r w:rsidR="007069CB" w:rsidRPr="00387653">
        <w:rPr>
          <w:rFonts w:cstheme="minorHAnsi"/>
        </w:rPr>
        <w:t>.  The state is offering two options for attendees, the traditional 16-week course or an eight-week course.  Both courses have the same content.  Carter</w:t>
      </w:r>
      <w:r w:rsidR="005664EB" w:rsidRPr="00387653">
        <w:rPr>
          <w:rFonts w:cstheme="minorHAnsi"/>
        </w:rPr>
        <w:t xml:space="preserve"> </w:t>
      </w:r>
      <w:r w:rsidR="00C524FD" w:rsidRPr="00387653">
        <w:rPr>
          <w:rFonts w:cstheme="minorHAnsi"/>
        </w:rPr>
        <w:t xml:space="preserve">noted new leadership at the Department of Education. Dr. Graves, former superintendent with the Mitchell school district, is the new Secretary of Education.  </w:t>
      </w:r>
    </w:p>
    <w:p w14:paraId="09AE1F24" w14:textId="408B3C26" w:rsidR="00E162F7" w:rsidRPr="00387653" w:rsidRDefault="00E162F7" w:rsidP="00A64EA0">
      <w:pPr>
        <w:pStyle w:val="NoSpacing"/>
        <w:rPr>
          <w:rFonts w:cstheme="minorHAnsi"/>
        </w:rPr>
      </w:pPr>
    </w:p>
    <w:p w14:paraId="388F6428" w14:textId="7419C942" w:rsidR="00E162F7" w:rsidRPr="00387653" w:rsidRDefault="00E162F7" w:rsidP="00A64EA0">
      <w:pPr>
        <w:pStyle w:val="NoSpacing"/>
        <w:rPr>
          <w:rFonts w:cstheme="minorHAnsi"/>
        </w:rPr>
      </w:pPr>
      <w:r w:rsidRPr="00387653">
        <w:rPr>
          <w:rFonts w:cstheme="minorHAnsi"/>
        </w:rPr>
        <w:t xml:space="preserve">Chair Holloway reminded members the next meeting will be April, date to be determined based on </w:t>
      </w:r>
      <w:r w:rsidR="00710CAD" w:rsidRPr="00387653">
        <w:rPr>
          <w:rFonts w:cstheme="minorHAnsi"/>
        </w:rPr>
        <w:t xml:space="preserve">OSEP timelines for the 2023 grant application.  </w:t>
      </w:r>
    </w:p>
    <w:p w14:paraId="1C4AF1A6" w14:textId="02252CC6" w:rsidR="00710CAD" w:rsidRPr="00387653" w:rsidRDefault="00710CAD" w:rsidP="00A64EA0">
      <w:pPr>
        <w:pStyle w:val="NoSpacing"/>
        <w:rPr>
          <w:rFonts w:cstheme="minorHAnsi"/>
        </w:rPr>
      </w:pPr>
    </w:p>
    <w:p w14:paraId="673355A2" w14:textId="29178CFA" w:rsidR="00710CAD" w:rsidRPr="00387653" w:rsidRDefault="00710CAD" w:rsidP="00A64EA0">
      <w:pPr>
        <w:pStyle w:val="NoSpacing"/>
        <w:rPr>
          <w:rFonts w:cstheme="minorHAnsi"/>
        </w:rPr>
      </w:pPr>
      <w:r w:rsidRPr="00387653">
        <w:rPr>
          <w:rFonts w:cstheme="minorHAnsi"/>
        </w:rPr>
        <w:t>Michelle Martin motion to adjourn, second Ducheneaux, al</w:t>
      </w:r>
      <w:r w:rsidR="00387653" w:rsidRPr="00387653">
        <w:rPr>
          <w:rFonts w:cstheme="minorHAnsi"/>
        </w:rPr>
        <w:t xml:space="preserve">l in favor.  Motion Carried. </w:t>
      </w:r>
    </w:p>
    <w:p w14:paraId="4265AF27" w14:textId="77777777" w:rsidR="00387653" w:rsidRPr="00387653" w:rsidRDefault="00387653" w:rsidP="00A64EA0">
      <w:pPr>
        <w:pStyle w:val="NoSpacing"/>
        <w:rPr>
          <w:rFonts w:cstheme="minorHAnsi"/>
        </w:rPr>
      </w:pPr>
    </w:p>
    <w:p w14:paraId="07882073" w14:textId="67FF261A" w:rsidR="00387653" w:rsidRPr="00387653" w:rsidRDefault="00387653" w:rsidP="00A64EA0">
      <w:pPr>
        <w:pStyle w:val="NoSpacing"/>
        <w:rPr>
          <w:rFonts w:cstheme="minorHAnsi"/>
        </w:rPr>
      </w:pPr>
      <w:r w:rsidRPr="00387653">
        <w:rPr>
          <w:rFonts w:cstheme="minorHAnsi"/>
        </w:rPr>
        <w:t xml:space="preserve">Meeting adjourned at 4:20pm. </w:t>
      </w:r>
    </w:p>
    <w:p w14:paraId="6A790A40" w14:textId="77777777" w:rsidR="00E162F7" w:rsidRPr="00387653" w:rsidRDefault="00E162F7" w:rsidP="00A64EA0">
      <w:pPr>
        <w:pStyle w:val="NoSpacing"/>
        <w:rPr>
          <w:rFonts w:cstheme="minorHAnsi"/>
        </w:rPr>
      </w:pPr>
    </w:p>
    <w:p w14:paraId="0CEC604A" w14:textId="6336B200" w:rsidR="00D30E34" w:rsidRPr="00387653" w:rsidRDefault="00D30E34" w:rsidP="00A64EA0">
      <w:pPr>
        <w:pStyle w:val="NoSpacing"/>
        <w:rPr>
          <w:rFonts w:cstheme="minorHAnsi"/>
        </w:rPr>
      </w:pPr>
    </w:p>
    <w:p w14:paraId="44578FE7" w14:textId="77777777" w:rsidR="00D30E34" w:rsidRPr="00387653" w:rsidRDefault="00D30E34" w:rsidP="00A64EA0">
      <w:pPr>
        <w:pStyle w:val="NoSpacing"/>
        <w:rPr>
          <w:rFonts w:cstheme="minorHAnsi"/>
        </w:rPr>
      </w:pPr>
    </w:p>
    <w:p w14:paraId="1B02089F" w14:textId="0BF0F2E9" w:rsidR="00682B4E" w:rsidRPr="00387653" w:rsidRDefault="00682B4E" w:rsidP="00A64EA0">
      <w:pPr>
        <w:pStyle w:val="NoSpacing"/>
        <w:rPr>
          <w:rFonts w:cstheme="minorHAnsi"/>
        </w:rPr>
      </w:pPr>
    </w:p>
    <w:p w14:paraId="039F7727" w14:textId="77777777" w:rsidR="00A64EA0" w:rsidRPr="00387653" w:rsidRDefault="00A64EA0">
      <w:pPr>
        <w:rPr>
          <w:rFonts w:cstheme="minorHAnsi"/>
        </w:rPr>
      </w:pPr>
    </w:p>
    <w:sectPr w:rsidR="00A64EA0" w:rsidRPr="00387653" w:rsidSect="00AD6B70">
      <w:headerReference w:type="even" r:id="rId7"/>
      <w:headerReference w:type="default" r:id="rId8"/>
      <w:footerReference w:type="even" r:id="rId9"/>
      <w:footerReference w:type="default" r:id="rId10"/>
      <w:headerReference w:type="first" r:id="rId11"/>
      <w:footerReference w:type="first" r:id="rId12"/>
      <w:pgSz w:w="12240" w:h="15840"/>
      <w:pgMar w:top="270" w:right="990" w:bottom="27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409B" w14:textId="77777777" w:rsidR="001C3742" w:rsidRDefault="001C3742" w:rsidP="001C3742">
      <w:pPr>
        <w:spacing w:after="0" w:line="240" w:lineRule="auto"/>
      </w:pPr>
      <w:r>
        <w:separator/>
      </w:r>
    </w:p>
  </w:endnote>
  <w:endnote w:type="continuationSeparator" w:id="0">
    <w:p w14:paraId="6E35C0DB" w14:textId="77777777" w:rsidR="001C3742" w:rsidRDefault="001C3742" w:rsidP="001C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B83E" w14:textId="77777777" w:rsidR="001C3742" w:rsidRDefault="001C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AAA1" w14:textId="77777777" w:rsidR="001C3742" w:rsidRDefault="001C37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445B" w14:textId="77777777" w:rsidR="001C3742" w:rsidRDefault="001C3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66C8" w14:textId="77777777" w:rsidR="001C3742" w:rsidRDefault="001C3742" w:rsidP="001C3742">
      <w:pPr>
        <w:spacing w:after="0" w:line="240" w:lineRule="auto"/>
      </w:pPr>
      <w:r>
        <w:separator/>
      </w:r>
    </w:p>
  </w:footnote>
  <w:footnote w:type="continuationSeparator" w:id="0">
    <w:p w14:paraId="128DDE15" w14:textId="77777777" w:rsidR="001C3742" w:rsidRDefault="001C3742" w:rsidP="001C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50EF" w14:textId="77777777" w:rsidR="001C3742" w:rsidRDefault="001C3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6E8F" w14:textId="2AF3EED2" w:rsidR="001C3742" w:rsidRDefault="001C3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182" w14:textId="77777777" w:rsidR="001C3742" w:rsidRDefault="001C3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E6C2C"/>
    <w:multiLevelType w:val="hybridMultilevel"/>
    <w:tmpl w:val="99E678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5452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1A33"/>
    <w:rsid w:val="000275FC"/>
    <w:rsid w:val="00043A3E"/>
    <w:rsid w:val="000633B5"/>
    <w:rsid w:val="0007578D"/>
    <w:rsid w:val="00076D26"/>
    <w:rsid w:val="00096F54"/>
    <w:rsid w:val="000A19B5"/>
    <w:rsid w:val="000B62B4"/>
    <w:rsid w:val="000C0793"/>
    <w:rsid w:val="001158E5"/>
    <w:rsid w:val="00121EA5"/>
    <w:rsid w:val="00122BB3"/>
    <w:rsid w:val="00155B5E"/>
    <w:rsid w:val="001B7DF5"/>
    <w:rsid w:val="001C3742"/>
    <w:rsid w:val="001D341B"/>
    <w:rsid w:val="001E43FD"/>
    <w:rsid w:val="00201BF1"/>
    <w:rsid w:val="0020739A"/>
    <w:rsid w:val="00212007"/>
    <w:rsid w:val="00212FC0"/>
    <w:rsid w:val="00260812"/>
    <w:rsid w:val="00295210"/>
    <w:rsid w:val="002F1F96"/>
    <w:rsid w:val="00344E8C"/>
    <w:rsid w:val="00363466"/>
    <w:rsid w:val="00382EB8"/>
    <w:rsid w:val="0038517B"/>
    <w:rsid w:val="00387653"/>
    <w:rsid w:val="00393065"/>
    <w:rsid w:val="003B5AE5"/>
    <w:rsid w:val="003C49E7"/>
    <w:rsid w:val="003E6EFF"/>
    <w:rsid w:val="00412FC1"/>
    <w:rsid w:val="004704F1"/>
    <w:rsid w:val="004A03B3"/>
    <w:rsid w:val="005248E2"/>
    <w:rsid w:val="00542A5B"/>
    <w:rsid w:val="005664EB"/>
    <w:rsid w:val="00567BE0"/>
    <w:rsid w:val="005703DA"/>
    <w:rsid w:val="005A0A67"/>
    <w:rsid w:val="005B2A96"/>
    <w:rsid w:val="005C1F16"/>
    <w:rsid w:val="005D0F45"/>
    <w:rsid w:val="005F220B"/>
    <w:rsid w:val="00616545"/>
    <w:rsid w:val="0062532B"/>
    <w:rsid w:val="00682B4E"/>
    <w:rsid w:val="006876B1"/>
    <w:rsid w:val="006A3C5C"/>
    <w:rsid w:val="006C79FE"/>
    <w:rsid w:val="0070662A"/>
    <w:rsid w:val="007069CB"/>
    <w:rsid w:val="00710CAD"/>
    <w:rsid w:val="007152AE"/>
    <w:rsid w:val="007318E3"/>
    <w:rsid w:val="007353E0"/>
    <w:rsid w:val="00750A81"/>
    <w:rsid w:val="00753B8D"/>
    <w:rsid w:val="00767B69"/>
    <w:rsid w:val="00776B8B"/>
    <w:rsid w:val="00795E01"/>
    <w:rsid w:val="007A533C"/>
    <w:rsid w:val="007D6E79"/>
    <w:rsid w:val="007D7D95"/>
    <w:rsid w:val="008042CA"/>
    <w:rsid w:val="00836D55"/>
    <w:rsid w:val="0087308A"/>
    <w:rsid w:val="00897402"/>
    <w:rsid w:val="008A126B"/>
    <w:rsid w:val="008B5635"/>
    <w:rsid w:val="008F5B7E"/>
    <w:rsid w:val="0091146F"/>
    <w:rsid w:val="00946AE8"/>
    <w:rsid w:val="00950F86"/>
    <w:rsid w:val="009709C2"/>
    <w:rsid w:val="00972F83"/>
    <w:rsid w:val="0097550B"/>
    <w:rsid w:val="00983A00"/>
    <w:rsid w:val="00990B29"/>
    <w:rsid w:val="009A0F24"/>
    <w:rsid w:val="009A3467"/>
    <w:rsid w:val="009D5E3F"/>
    <w:rsid w:val="009F0EBB"/>
    <w:rsid w:val="00A0430B"/>
    <w:rsid w:val="00A30D28"/>
    <w:rsid w:val="00A43BDD"/>
    <w:rsid w:val="00A527C9"/>
    <w:rsid w:val="00A575F8"/>
    <w:rsid w:val="00A64EA0"/>
    <w:rsid w:val="00AB54A9"/>
    <w:rsid w:val="00AD6B70"/>
    <w:rsid w:val="00AE7546"/>
    <w:rsid w:val="00AF1D82"/>
    <w:rsid w:val="00B01497"/>
    <w:rsid w:val="00B06DA6"/>
    <w:rsid w:val="00B10EAE"/>
    <w:rsid w:val="00B21F18"/>
    <w:rsid w:val="00B24765"/>
    <w:rsid w:val="00B26156"/>
    <w:rsid w:val="00B34463"/>
    <w:rsid w:val="00B57ADA"/>
    <w:rsid w:val="00B6444F"/>
    <w:rsid w:val="00B773F7"/>
    <w:rsid w:val="00B87974"/>
    <w:rsid w:val="00B97A5D"/>
    <w:rsid w:val="00BB264A"/>
    <w:rsid w:val="00C524FD"/>
    <w:rsid w:val="00C81F31"/>
    <w:rsid w:val="00CA3996"/>
    <w:rsid w:val="00CB02A4"/>
    <w:rsid w:val="00CC41B6"/>
    <w:rsid w:val="00CE043C"/>
    <w:rsid w:val="00D222AC"/>
    <w:rsid w:val="00D30E34"/>
    <w:rsid w:val="00D67954"/>
    <w:rsid w:val="00E162F7"/>
    <w:rsid w:val="00E24EBE"/>
    <w:rsid w:val="00E26991"/>
    <w:rsid w:val="00E27426"/>
    <w:rsid w:val="00E673B4"/>
    <w:rsid w:val="00E73221"/>
    <w:rsid w:val="00E920F3"/>
    <w:rsid w:val="00EC23FD"/>
    <w:rsid w:val="00EC3F70"/>
    <w:rsid w:val="00F02338"/>
    <w:rsid w:val="00F17EDA"/>
    <w:rsid w:val="00F3616F"/>
    <w:rsid w:val="00F40DEF"/>
    <w:rsid w:val="00F600FB"/>
    <w:rsid w:val="00F804A0"/>
    <w:rsid w:val="00F95D7D"/>
    <w:rsid w:val="00F97828"/>
    <w:rsid w:val="00FE3F11"/>
    <w:rsid w:val="00FE5529"/>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CF8C22"/>
  <w15:chartTrackingRefBased/>
  <w15:docId w15:val="{72461284-B53A-42C0-963F-98FC2003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974"/>
    <w:pPr>
      <w:spacing w:after="0" w:line="240" w:lineRule="auto"/>
    </w:pPr>
  </w:style>
  <w:style w:type="table" w:styleId="TableGrid">
    <w:name w:val="Table Grid"/>
    <w:basedOn w:val="TableNormal"/>
    <w:uiPriority w:val="39"/>
    <w:rsid w:val="008B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563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3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742"/>
  </w:style>
  <w:style w:type="paragraph" w:styleId="Footer">
    <w:name w:val="footer"/>
    <w:basedOn w:val="Normal"/>
    <w:link w:val="FooterChar"/>
    <w:uiPriority w:val="99"/>
    <w:unhideWhenUsed/>
    <w:rsid w:val="001C3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493">
      <w:bodyDiv w:val="1"/>
      <w:marLeft w:val="0"/>
      <w:marRight w:val="0"/>
      <w:marTop w:val="0"/>
      <w:marBottom w:val="0"/>
      <w:divBdr>
        <w:top w:val="none" w:sz="0" w:space="0" w:color="auto"/>
        <w:left w:val="none" w:sz="0" w:space="0" w:color="auto"/>
        <w:bottom w:val="none" w:sz="0" w:space="0" w:color="auto"/>
        <w:right w:val="none" w:sz="0" w:space="0" w:color="auto"/>
      </w:divBdr>
    </w:div>
    <w:div w:id="100998153">
      <w:bodyDiv w:val="1"/>
      <w:marLeft w:val="0"/>
      <w:marRight w:val="0"/>
      <w:marTop w:val="0"/>
      <w:marBottom w:val="0"/>
      <w:divBdr>
        <w:top w:val="none" w:sz="0" w:space="0" w:color="auto"/>
        <w:left w:val="none" w:sz="0" w:space="0" w:color="auto"/>
        <w:bottom w:val="none" w:sz="0" w:space="0" w:color="auto"/>
        <w:right w:val="none" w:sz="0" w:space="0" w:color="auto"/>
      </w:divBdr>
    </w:div>
    <w:div w:id="189758173">
      <w:bodyDiv w:val="1"/>
      <w:marLeft w:val="0"/>
      <w:marRight w:val="0"/>
      <w:marTop w:val="0"/>
      <w:marBottom w:val="0"/>
      <w:divBdr>
        <w:top w:val="none" w:sz="0" w:space="0" w:color="auto"/>
        <w:left w:val="none" w:sz="0" w:space="0" w:color="auto"/>
        <w:bottom w:val="none" w:sz="0" w:space="0" w:color="auto"/>
        <w:right w:val="none" w:sz="0" w:space="0" w:color="auto"/>
      </w:divBdr>
    </w:div>
    <w:div w:id="295648934">
      <w:bodyDiv w:val="1"/>
      <w:marLeft w:val="0"/>
      <w:marRight w:val="0"/>
      <w:marTop w:val="0"/>
      <w:marBottom w:val="0"/>
      <w:divBdr>
        <w:top w:val="none" w:sz="0" w:space="0" w:color="auto"/>
        <w:left w:val="none" w:sz="0" w:space="0" w:color="auto"/>
        <w:bottom w:val="none" w:sz="0" w:space="0" w:color="auto"/>
        <w:right w:val="none" w:sz="0" w:space="0" w:color="auto"/>
      </w:divBdr>
    </w:div>
    <w:div w:id="369648838">
      <w:bodyDiv w:val="1"/>
      <w:marLeft w:val="0"/>
      <w:marRight w:val="0"/>
      <w:marTop w:val="0"/>
      <w:marBottom w:val="0"/>
      <w:divBdr>
        <w:top w:val="none" w:sz="0" w:space="0" w:color="auto"/>
        <w:left w:val="none" w:sz="0" w:space="0" w:color="auto"/>
        <w:bottom w:val="none" w:sz="0" w:space="0" w:color="auto"/>
        <w:right w:val="none" w:sz="0" w:space="0" w:color="auto"/>
      </w:divBdr>
    </w:div>
    <w:div w:id="411203946">
      <w:bodyDiv w:val="1"/>
      <w:marLeft w:val="0"/>
      <w:marRight w:val="0"/>
      <w:marTop w:val="0"/>
      <w:marBottom w:val="0"/>
      <w:divBdr>
        <w:top w:val="none" w:sz="0" w:space="0" w:color="auto"/>
        <w:left w:val="none" w:sz="0" w:space="0" w:color="auto"/>
        <w:bottom w:val="none" w:sz="0" w:space="0" w:color="auto"/>
        <w:right w:val="none" w:sz="0" w:space="0" w:color="auto"/>
      </w:divBdr>
    </w:div>
    <w:div w:id="591087784">
      <w:bodyDiv w:val="1"/>
      <w:marLeft w:val="0"/>
      <w:marRight w:val="0"/>
      <w:marTop w:val="0"/>
      <w:marBottom w:val="0"/>
      <w:divBdr>
        <w:top w:val="none" w:sz="0" w:space="0" w:color="auto"/>
        <w:left w:val="none" w:sz="0" w:space="0" w:color="auto"/>
        <w:bottom w:val="none" w:sz="0" w:space="0" w:color="auto"/>
        <w:right w:val="none" w:sz="0" w:space="0" w:color="auto"/>
      </w:divBdr>
    </w:div>
    <w:div w:id="635255022">
      <w:bodyDiv w:val="1"/>
      <w:marLeft w:val="0"/>
      <w:marRight w:val="0"/>
      <w:marTop w:val="0"/>
      <w:marBottom w:val="0"/>
      <w:divBdr>
        <w:top w:val="none" w:sz="0" w:space="0" w:color="auto"/>
        <w:left w:val="none" w:sz="0" w:space="0" w:color="auto"/>
        <w:bottom w:val="none" w:sz="0" w:space="0" w:color="auto"/>
        <w:right w:val="none" w:sz="0" w:space="0" w:color="auto"/>
      </w:divBdr>
    </w:div>
    <w:div w:id="919363680">
      <w:bodyDiv w:val="1"/>
      <w:marLeft w:val="0"/>
      <w:marRight w:val="0"/>
      <w:marTop w:val="0"/>
      <w:marBottom w:val="0"/>
      <w:divBdr>
        <w:top w:val="none" w:sz="0" w:space="0" w:color="auto"/>
        <w:left w:val="none" w:sz="0" w:space="0" w:color="auto"/>
        <w:bottom w:val="none" w:sz="0" w:space="0" w:color="auto"/>
        <w:right w:val="none" w:sz="0" w:space="0" w:color="auto"/>
      </w:divBdr>
    </w:div>
    <w:div w:id="1010907189">
      <w:bodyDiv w:val="1"/>
      <w:marLeft w:val="0"/>
      <w:marRight w:val="0"/>
      <w:marTop w:val="0"/>
      <w:marBottom w:val="0"/>
      <w:divBdr>
        <w:top w:val="none" w:sz="0" w:space="0" w:color="auto"/>
        <w:left w:val="none" w:sz="0" w:space="0" w:color="auto"/>
        <w:bottom w:val="none" w:sz="0" w:space="0" w:color="auto"/>
        <w:right w:val="none" w:sz="0" w:space="0" w:color="auto"/>
      </w:divBdr>
    </w:div>
    <w:div w:id="1021248057">
      <w:bodyDiv w:val="1"/>
      <w:marLeft w:val="0"/>
      <w:marRight w:val="0"/>
      <w:marTop w:val="0"/>
      <w:marBottom w:val="0"/>
      <w:divBdr>
        <w:top w:val="none" w:sz="0" w:space="0" w:color="auto"/>
        <w:left w:val="none" w:sz="0" w:space="0" w:color="auto"/>
        <w:bottom w:val="none" w:sz="0" w:space="0" w:color="auto"/>
        <w:right w:val="none" w:sz="0" w:space="0" w:color="auto"/>
      </w:divBdr>
    </w:div>
    <w:div w:id="1399787150">
      <w:bodyDiv w:val="1"/>
      <w:marLeft w:val="0"/>
      <w:marRight w:val="0"/>
      <w:marTop w:val="0"/>
      <w:marBottom w:val="0"/>
      <w:divBdr>
        <w:top w:val="none" w:sz="0" w:space="0" w:color="auto"/>
        <w:left w:val="none" w:sz="0" w:space="0" w:color="auto"/>
        <w:bottom w:val="none" w:sz="0" w:space="0" w:color="auto"/>
        <w:right w:val="none" w:sz="0" w:space="0" w:color="auto"/>
      </w:divBdr>
    </w:div>
    <w:div w:id="1869830588">
      <w:bodyDiv w:val="1"/>
      <w:marLeft w:val="0"/>
      <w:marRight w:val="0"/>
      <w:marTop w:val="0"/>
      <w:marBottom w:val="0"/>
      <w:divBdr>
        <w:top w:val="none" w:sz="0" w:space="0" w:color="auto"/>
        <w:left w:val="none" w:sz="0" w:space="0" w:color="auto"/>
        <w:bottom w:val="none" w:sz="0" w:space="0" w:color="auto"/>
        <w:right w:val="none" w:sz="0" w:space="0" w:color="auto"/>
      </w:divBdr>
    </w:div>
    <w:div w:id="21130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Sarah</dc:creator>
  <cp:keywords/>
  <dc:description/>
  <cp:lastModifiedBy>Carter, Sarah</cp:lastModifiedBy>
  <cp:revision>3</cp:revision>
  <dcterms:created xsi:type="dcterms:W3CDTF">2023-05-02T19:22:00Z</dcterms:created>
  <dcterms:modified xsi:type="dcterms:W3CDTF">2023-05-03T17:33:00Z</dcterms:modified>
</cp:coreProperties>
</file>