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185" w14:textId="0DB43904" w:rsidR="003373EC" w:rsidRPr="003A5CEE" w:rsidRDefault="003373EC" w:rsidP="005A2F12">
      <w:pPr>
        <w:pStyle w:val="NoSpacing"/>
        <w:jc w:val="center"/>
        <w:rPr>
          <w:b/>
          <w:bCs/>
        </w:rPr>
      </w:pPr>
      <w:r w:rsidRPr="003A5CEE">
        <w:rPr>
          <w:b/>
          <w:bCs/>
        </w:rPr>
        <w:t>Meeting Minutes for the</w:t>
      </w:r>
    </w:p>
    <w:p w14:paraId="182DD405" w14:textId="65446006" w:rsidR="00476CDE" w:rsidRPr="003A5CEE" w:rsidRDefault="003373EC" w:rsidP="005A2F12">
      <w:pPr>
        <w:pStyle w:val="NoSpacing"/>
        <w:jc w:val="center"/>
        <w:rPr>
          <w:b/>
          <w:bCs/>
        </w:rPr>
      </w:pPr>
      <w:r w:rsidRPr="003A5CEE">
        <w:rPr>
          <w:b/>
          <w:bCs/>
        </w:rPr>
        <w:t>State Interagency Coordinating Council</w:t>
      </w:r>
    </w:p>
    <w:p w14:paraId="0B24B9A6" w14:textId="1EF68CBE" w:rsidR="003373EC" w:rsidRPr="003A5CEE" w:rsidRDefault="00230A32" w:rsidP="005A2F12">
      <w:pPr>
        <w:pStyle w:val="NoSpacing"/>
        <w:jc w:val="center"/>
        <w:rPr>
          <w:b/>
          <w:bCs/>
        </w:rPr>
      </w:pPr>
      <w:r>
        <w:rPr>
          <w:b/>
          <w:bCs/>
        </w:rPr>
        <w:t>December 9</w:t>
      </w:r>
      <w:r w:rsidR="00EC557A">
        <w:rPr>
          <w:b/>
          <w:bCs/>
        </w:rPr>
        <w:t>, 2024</w:t>
      </w:r>
    </w:p>
    <w:p w14:paraId="3F574ED3" w14:textId="70298FEB" w:rsidR="003373EC" w:rsidRPr="003A5CEE" w:rsidRDefault="00230A32" w:rsidP="00230A32">
      <w:pPr>
        <w:pStyle w:val="NoSpacing"/>
        <w:ind w:left="2160" w:firstLine="720"/>
        <w:rPr>
          <w:b/>
          <w:bCs/>
        </w:rPr>
      </w:pPr>
      <w:r>
        <w:rPr>
          <w:b/>
          <w:bCs/>
        </w:rPr>
        <w:t>MacKay Building, Library Commons</w:t>
      </w:r>
    </w:p>
    <w:p w14:paraId="43D72B07" w14:textId="309A85AF" w:rsidR="003373EC" w:rsidRDefault="003373EC" w:rsidP="003373EC">
      <w:pPr>
        <w:pStyle w:val="NoSpacing"/>
      </w:pPr>
    </w:p>
    <w:p w14:paraId="330751C2" w14:textId="31C8863B" w:rsidR="003373EC" w:rsidRPr="0014385C" w:rsidRDefault="003373EC" w:rsidP="003373EC">
      <w:pPr>
        <w:pStyle w:val="NoSpacing"/>
        <w:rPr>
          <w:b/>
          <w:bCs/>
          <w:u w:val="single"/>
        </w:rPr>
      </w:pPr>
      <w:r w:rsidRPr="0014385C">
        <w:rPr>
          <w:b/>
          <w:bCs/>
          <w:u w:val="single"/>
        </w:rPr>
        <w:t>Members Present:</w:t>
      </w:r>
    </w:p>
    <w:p w14:paraId="348B8194" w14:textId="5C9980BD" w:rsidR="001220A5" w:rsidRDefault="001220A5" w:rsidP="003373EC">
      <w:pPr>
        <w:pStyle w:val="NoSpacing"/>
      </w:pPr>
      <w:r w:rsidRPr="001220A5">
        <w:t>Jodi Berscheid</w:t>
      </w:r>
    </w:p>
    <w:p w14:paraId="2E3D716D" w14:textId="2403C8CB" w:rsidR="00054992" w:rsidRDefault="00054992" w:rsidP="003373EC">
      <w:pPr>
        <w:pStyle w:val="NoSpacing"/>
      </w:pPr>
      <w:r>
        <w:t>Stephanie Busjahn</w:t>
      </w:r>
    </w:p>
    <w:p w14:paraId="2FD731BF" w14:textId="44FF17CC" w:rsidR="00EB5A73" w:rsidRDefault="00EB5A73" w:rsidP="003373EC">
      <w:pPr>
        <w:pStyle w:val="NoSpacing"/>
      </w:pPr>
      <w:r>
        <w:t>Teresa Campbell</w:t>
      </w:r>
    </w:p>
    <w:p w14:paraId="2F68F44A" w14:textId="50086908" w:rsidR="00054992" w:rsidRDefault="00054992" w:rsidP="003373EC">
      <w:pPr>
        <w:pStyle w:val="NoSpacing"/>
      </w:pPr>
      <w:r>
        <w:t>Sarah Carter</w:t>
      </w:r>
    </w:p>
    <w:p w14:paraId="17816E68" w14:textId="714E9DFD" w:rsidR="00EB5A73" w:rsidRDefault="00EB5A73" w:rsidP="003373EC">
      <w:pPr>
        <w:pStyle w:val="NoSpacing"/>
      </w:pPr>
      <w:r>
        <w:t>Carrie Churchill</w:t>
      </w:r>
    </w:p>
    <w:p w14:paraId="2D5083E8" w14:textId="6A3AB241" w:rsidR="00EB5A73" w:rsidRDefault="00EB5A73" w:rsidP="003373EC">
      <w:pPr>
        <w:pStyle w:val="NoSpacing"/>
      </w:pPr>
      <w:r>
        <w:t>Kirsten Ducheneaux</w:t>
      </w:r>
    </w:p>
    <w:p w14:paraId="5B40C8D9" w14:textId="36734599" w:rsidR="0049621D" w:rsidRDefault="0049621D" w:rsidP="003373EC">
      <w:pPr>
        <w:pStyle w:val="NoSpacing"/>
      </w:pPr>
      <w:r>
        <w:t>Kelly Gilbert</w:t>
      </w:r>
    </w:p>
    <w:p w14:paraId="0685C364" w14:textId="624BE46B" w:rsidR="00D70951" w:rsidRDefault="00D70951" w:rsidP="003373EC">
      <w:pPr>
        <w:pStyle w:val="NoSpacing"/>
      </w:pPr>
      <w:r>
        <w:t>Carie Green</w:t>
      </w:r>
    </w:p>
    <w:p w14:paraId="11D9963D" w14:textId="1A53D2FC" w:rsidR="00D70951" w:rsidRDefault="00D70951" w:rsidP="003373EC">
      <w:pPr>
        <w:pStyle w:val="NoSpacing"/>
      </w:pPr>
      <w:r>
        <w:t>Joe Hauge</w:t>
      </w:r>
    </w:p>
    <w:p w14:paraId="3A6780FE" w14:textId="1A0B834B" w:rsidR="00D70951" w:rsidRDefault="00D70951" w:rsidP="003373EC">
      <w:pPr>
        <w:pStyle w:val="NoSpacing"/>
      </w:pPr>
      <w:r>
        <w:t>Rochelle Holloway</w:t>
      </w:r>
    </w:p>
    <w:p w14:paraId="7CCAA27B" w14:textId="3EDC9759" w:rsidR="00D70951" w:rsidRDefault="00D70951" w:rsidP="003373EC">
      <w:pPr>
        <w:pStyle w:val="NoSpacing"/>
      </w:pPr>
      <w:r>
        <w:t>Wendy Honeycutt</w:t>
      </w:r>
    </w:p>
    <w:p w14:paraId="289C5CB5" w14:textId="66244675" w:rsidR="00A43E1E" w:rsidRDefault="00A43E1E" w:rsidP="003373EC">
      <w:pPr>
        <w:pStyle w:val="NoSpacing"/>
      </w:pPr>
      <w:r>
        <w:t>Katherine Schm</w:t>
      </w:r>
      <w:r w:rsidR="00144330">
        <w:t>i</w:t>
      </w:r>
      <w:r>
        <w:t>dt</w:t>
      </w:r>
    </w:p>
    <w:p w14:paraId="23812FCE" w14:textId="74026ECD" w:rsidR="00A43E1E" w:rsidRPr="001220A5" w:rsidRDefault="00A43E1E" w:rsidP="003373EC">
      <w:pPr>
        <w:pStyle w:val="NoSpacing"/>
      </w:pPr>
    </w:p>
    <w:p w14:paraId="256B457D" w14:textId="77777777" w:rsidR="001220A5" w:rsidRDefault="001220A5" w:rsidP="003373EC">
      <w:pPr>
        <w:pStyle w:val="NoSpacing"/>
        <w:rPr>
          <w:b/>
          <w:bCs/>
          <w:u w:val="single"/>
        </w:rPr>
      </w:pPr>
    </w:p>
    <w:p w14:paraId="3070A525" w14:textId="66F6CEE0" w:rsidR="005A2F12" w:rsidRPr="0014385C" w:rsidRDefault="005A2F12" w:rsidP="003373EC">
      <w:pPr>
        <w:pStyle w:val="NoSpacing"/>
        <w:rPr>
          <w:b/>
          <w:bCs/>
          <w:u w:val="single"/>
        </w:rPr>
      </w:pPr>
      <w:r w:rsidRPr="0014385C">
        <w:rPr>
          <w:b/>
          <w:bCs/>
          <w:u w:val="single"/>
        </w:rPr>
        <w:t>Members Absent:</w:t>
      </w:r>
    </w:p>
    <w:p w14:paraId="2FEC02B2" w14:textId="6D13F927" w:rsidR="00144330" w:rsidRDefault="00144330" w:rsidP="003373EC">
      <w:pPr>
        <w:pStyle w:val="NoSpacing"/>
      </w:pPr>
      <w:r>
        <w:t>JoLynn Bostrom</w:t>
      </w:r>
    </w:p>
    <w:p w14:paraId="649BA8E2" w14:textId="3BB973DC" w:rsidR="00144330" w:rsidRDefault="00144330" w:rsidP="003373EC">
      <w:pPr>
        <w:pStyle w:val="NoSpacing"/>
      </w:pPr>
      <w:r>
        <w:t>Gretchen Brodkorb</w:t>
      </w:r>
    </w:p>
    <w:p w14:paraId="67131679" w14:textId="723814E0" w:rsidR="00902EA6" w:rsidRDefault="00C62067" w:rsidP="003373EC">
      <w:pPr>
        <w:pStyle w:val="NoSpacing"/>
      </w:pPr>
      <w:r>
        <w:t>Melanie Lundquist</w:t>
      </w:r>
    </w:p>
    <w:p w14:paraId="29BDBBF0" w14:textId="12C79BCE" w:rsidR="00C22F8C" w:rsidRDefault="00C22F8C" w:rsidP="003373EC">
      <w:pPr>
        <w:pStyle w:val="NoSpacing"/>
      </w:pPr>
      <w:r>
        <w:t>Carla Miller</w:t>
      </w:r>
    </w:p>
    <w:p w14:paraId="353E025C" w14:textId="3FC04AEE" w:rsidR="00902EA6" w:rsidRDefault="00C62067" w:rsidP="003373EC">
      <w:pPr>
        <w:pStyle w:val="NoSpacing"/>
      </w:pPr>
      <w:r>
        <w:t>Jordan Mounga</w:t>
      </w:r>
    </w:p>
    <w:p w14:paraId="3AF29A9A" w14:textId="062AB104" w:rsidR="001D5515" w:rsidRDefault="001D5515" w:rsidP="003373EC">
      <w:pPr>
        <w:pStyle w:val="NoSpacing"/>
      </w:pPr>
      <w:r>
        <w:t>Laura Nordbye</w:t>
      </w:r>
    </w:p>
    <w:p w14:paraId="523D1F9E" w14:textId="4AD6259B" w:rsidR="001D5515" w:rsidRDefault="001D5515" w:rsidP="003373EC">
      <w:pPr>
        <w:pStyle w:val="NoSpacing"/>
      </w:pPr>
      <w:r>
        <w:t>Emily Quick</w:t>
      </w:r>
    </w:p>
    <w:p w14:paraId="3E9E0566" w14:textId="1E08337B" w:rsidR="00F33223" w:rsidRDefault="00F33223" w:rsidP="003373EC">
      <w:pPr>
        <w:pStyle w:val="NoSpacing"/>
      </w:pPr>
      <w:r>
        <w:t xml:space="preserve">Tiara Selby </w:t>
      </w:r>
    </w:p>
    <w:p w14:paraId="53E8382B" w14:textId="061A73AD" w:rsidR="00C62067" w:rsidRDefault="00C62067" w:rsidP="003373EC">
      <w:pPr>
        <w:pStyle w:val="NoSpacing"/>
        <w:rPr>
          <w:b/>
          <w:bCs/>
          <w:u w:val="single"/>
        </w:rPr>
      </w:pPr>
    </w:p>
    <w:p w14:paraId="6C640FB4" w14:textId="77777777" w:rsidR="00C62067" w:rsidRDefault="00C62067" w:rsidP="003373EC">
      <w:pPr>
        <w:pStyle w:val="NoSpacing"/>
        <w:rPr>
          <w:b/>
          <w:bCs/>
          <w:u w:val="single"/>
        </w:rPr>
      </w:pPr>
    </w:p>
    <w:p w14:paraId="69371848" w14:textId="0EBFBA8B" w:rsidR="005A2F12" w:rsidRPr="00640CC5" w:rsidRDefault="005A2F12" w:rsidP="003373EC">
      <w:pPr>
        <w:pStyle w:val="NoSpacing"/>
        <w:rPr>
          <w:b/>
          <w:bCs/>
          <w:u w:val="single"/>
        </w:rPr>
      </w:pPr>
      <w:r w:rsidRPr="00640CC5">
        <w:rPr>
          <w:b/>
          <w:bCs/>
          <w:u w:val="single"/>
        </w:rPr>
        <w:t xml:space="preserve">Birth to Three Staff: </w:t>
      </w:r>
    </w:p>
    <w:p w14:paraId="0DCF3044" w14:textId="3AE9F160" w:rsidR="005A2F12" w:rsidRDefault="005A2F12" w:rsidP="003373EC">
      <w:pPr>
        <w:pStyle w:val="NoSpacing"/>
      </w:pPr>
      <w:r>
        <w:t>Sarah Carter, Director</w:t>
      </w:r>
    </w:p>
    <w:p w14:paraId="3BDDC24C" w14:textId="0D71C5B2" w:rsidR="005A2F12" w:rsidRDefault="009F193C" w:rsidP="003373EC">
      <w:pPr>
        <w:pStyle w:val="NoSpacing"/>
      </w:pPr>
      <w:r>
        <w:t>Kristin Tostenson</w:t>
      </w:r>
      <w:r w:rsidR="005A2F12">
        <w:t>, Program Specialist</w:t>
      </w:r>
    </w:p>
    <w:p w14:paraId="43DAADE7" w14:textId="3DA927DE" w:rsidR="001A1FF0" w:rsidRDefault="009F193C" w:rsidP="003373EC">
      <w:pPr>
        <w:pStyle w:val="NoSpacing"/>
      </w:pPr>
      <w:r>
        <w:t>Kayli Severyn,</w:t>
      </w:r>
      <w:r w:rsidR="001A1FF0">
        <w:t xml:space="preserve"> Program Specialist</w:t>
      </w:r>
    </w:p>
    <w:p w14:paraId="32B70C0C" w14:textId="4797B255" w:rsidR="005A2F12" w:rsidRDefault="005A2F12" w:rsidP="003373EC">
      <w:pPr>
        <w:pStyle w:val="NoSpacing"/>
      </w:pPr>
      <w:r>
        <w:t>Jen Kampmann, Program Specialist</w:t>
      </w:r>
    </w:p>
    <w:p w14:paraId="21A1425E" w14:textId="1AB3237A" w:rsidR="00CF77AD" w:rsidRDefault="00CF77AD" w:rsidP="003373EC">
      <w:pPr>
        <w:pStyle w:val="NoSpacing"/>
      </w:pPr>
      <w:r>
        <w:t>Janet Penticoff, Senior Secretary</w:t>
      </w:r>
    </w:p>
    <w:p w14:paraId="7B5D486E" w14:textId="44B09314" w:rsidR="005A2F12" w:rsidRDefault="005A2F12" w:rsidP="003373EC">
      <w:pPr>
        <w:pStyle w:val="NoSpacing"/>
      </w:pPr>
    </w:p>
    <w:p w14:paraId="45074E7E" w14:textId="7A70CED1" w:rsidR="005A2F12" w:rsidRPr="0014385C" w:rsidRDefault="008B42EF" w:rsidP="003373EC">
      <w:pPr>
        <w:pStyle w:val="NoSpacing"/>
        <w:rPr>
          <w:b/>
          <w:bCs/>
          <w:u w:val="single"/>
        </w:rPr>
      </w:pPr>
      <w:r>
        <w:rPr>
          <w:b/>
          <w:bCs/>
          <w:u w:val="single"/>
        </w:rPr>
        <w:t>Guests:</w:t>
      </w:r>
    </w:p>
    <w:p w14:paraId="77EDEC73" w14:textId="31B4CA81" w:rsidR="005A2F12" w:rsidRDefault="00281972" w:rsidP="003373EC">
      <w:pPr>
        <w:pStyle w:val="NoSpacing"/>
      </w:pPr>
      <w:r>
        <w:t>Sharon Walsh,</w:t>
      </w:r>
      <w:r w:rsidR="00671FE6">
        <w:t xml:space="preserve"> OSEP sponsored technical assistance centers ECTA and DaSy</w:t>
      </w:r>
    </w:p>
    <w:p w14:paraId="067A950D" w14:textId="27B4CF11" w:rsidR="00E95B95" w:rsidRDefault="00E95B95" w:rsidP="003373EC">
      <w:pPr>
        <w:pStyle w:val="NoSpacing"/>
      </w:pPr>
    </w:p>
    <w:p w14:paraId="5E78939E" w14:textId="2367BD6B" w:rsidR="00E95B95" w:rsidRPr="00426621" w:rsidRDefault="00E95B95" w:rsidP="003373EC">
      <w:pPr>
        <w:pStyle w:val="NoSpacing"/>
        <w:rPr>
          <w:b/>
          <w:bCs/>
        </w:rPr>
      </w:pPr>
      <w:r w:rsidRPr="00426621">
        <w:rPr>
          <w:b/>
          <w:bCs/>
        </w:rPr>
        <w:t>Call to Order and Roll Call</w:t>
      </w:r>
    </w:p>
    <w:p w14:paraId="5DDA8A23" w14:textId="02E3C652" w:rsidR="00E95B95" w:rsidRDefault="00E95B95" w:rsidP="003373EC">
      <w:pPr>
        <w:pStyle w:val="NoSpacing"/>
      </w:pPr>
      <w:r>
        <w:t xml:space="preserve">The State Interagency Coordinating Council was called to order at </w:t>
      </w:r>
      <w:r w:rsidR="00D01E82">
        <w:t>10:11</w:t>
      </w:r>
      <w:r w:rsidR="00836F8F">
        <w:t xml:space="preserve"> a</w:t>
      </w:r>
      <w:r>
        <w:t xml:space="preserve">m. Central Time </w:t>
      </w:r>
      <w:r w:rsidR="001D2C03">
        <w:t xml:space="preserve">by SICC member </w:t>
      </w:r>
      <w:r w:rsidR="008D391D">
        <w:t xml:space="preserve">Rochelle Holloway </w:t>
      </w:r>
      <w:r w:rsidR="001D2C03">
        <w:t xml:space="preserve">and roll call was taken.  </w:t>
      </w:r>
      <w:r w:rsidR="00792DCB">
        <w:t>Introductio</w:t>
      </w:r>
      <w:r w:rsidR="00583AA4">
        <w:t xml:space="preserve">ns of the Birth to Three staff were made. </w:t>
      </w:r>
    </w:p>
    <w:p w14:paraId="256CA1BC" w14:textId="77777777" w:rsidR="00426621" w:rsidRDefault="00426621" w:rsidP="003373EC">
      <w:pPr>
        <w:pStyle w:val="NoSpacing"/>
      </w:pPr>
    </w:p>
    <w:p w14:paraId="70FF7CB4" w14:textId="7D0AE127" w:rsidR="00426621" w:rsidRPr="00BB49FD" w:rsidRDefault="00426621" w:rsidP="003373EC">
      <w:pPr>
        <w:pStyle w:val="NoSpacing"/>
        <w:rPr>
          <w:b/>
          <w:bCs/>
        </w:rPr>
      </w:pPr>
      <w:r w:rsidRPr="00BB49FD">
        <w:rPr>
          <w:b/>
          <w:bCs/>
        </w:rPr>
        <w:t>Adoption of Agenda</w:t>
      </w:r>
    </w:p>
    <w:p w14:paraId="1A562ACF" w14:textId="1414E063" w:rsidR="00426621" w:rsidRDefault="00426621" w:rsidP="003373EC">
      <w:pPr>
        <w:pStyle w:val="NoSpacing"/>
      </w:pPr>
      <w:r>
        <w:t>Motion by</w:t>
      </w:r>
      <w:r w:rsidR="00DC387A">
        <w:t xml:space="preserve"> </w:t>
      </w:r>
      <w:r w:rsidR="00BC49FB">
        <w:t>Joe Hauge</w:t>
      </w:r>
      <w:r>
        <w:t>, second by</w:t>
      </w:r>
      <w:r w:rsidR="005A7929">
        <w:t xml:space="preserve"> </w:t>
      </w:r>
      <w:r w:rsidR="00D72961">
        <w:t xml:space="preserve">Carrie Churchill </w:t>
      </w:r>
      <w:r>
        <w:t xml:space="preserve">to approve the </w:t>
      </w:r>
      <w:r w:rsidR="00356AD1">
        <w:t xml:space="preserve">December 9, </w:t>
      </w:r>
      <w:r>
        <w:t>202</w:t>
      </w:r>
      <w:r w:rsidR="008743A5">
        <w:t>4</w:t>
      </w:r>
      <w:r>
        <w:t>, agenda.  All voted in favor:  Motion carried.</w:t>
      </w:r>
    </w:p>
    <w:p w14:paraId="121D1F0D" w14:textId="023CE8E7" w:rsidR="00426621" w:rsidRDefault="00426621" w:rsidP="003373EC">
      <w:pPr>
        <w:pStyle w:val="NoSpacing"/>
      </w:pPr>
    </w:p>
    <w:p w14:paraId="0E64CC22" w14:textId="599F3AC3" w:rsidR="00BB49FD" w:rsidRPr="001D2C87" w:rsidRDefault="00426621" w:rsidP="003373EC">
      <w:pPr>
        <w:pStyle w:val="NoSpacing"/>
        <w:rPr>
          <w:b/>
          <w:bCs/>
        </w:rPr>
      </w:pPr>
      <w:r w:rsidRPr="001D2C87">
        <w:rPr>
          <w:b/>
          <w:bCs/>
        </w:rPr>
        <w:lastRenderedPageBreak/>
        <w:t>Approval of Minutes</w:t>
      </w:r>
    </w:p>
    <w:p w14:paraId="4C9E2DE5" w14:textId="24CB228E" w:rsidR="00425130" w:rsidRDefault="00425130" w:rsidP="003373EC">
      <w:pPr>
        <w:pStyle w:val="NoSpacing"/>
      </w:pPr>
      <w:r>
        <w:t>Motion by</w:t>
      </w:r>
      <w:r w:rsidR="004A5C07">
        <w:t xml:space="preserve"> Katherine Schmidt</w:t>
      </w:r>
      <w:r w:rsidR="00B94A7E">
        <w:t xml:space="preserve"> </w:t>
      </w:r>
      <w:r>
        <w:t>to approve the J</w:t>
      </w:r>
      <w:r w:rsidR="00356AD1">
        <w:t>uly</w:t>
      </w:r>
      <w:r>
        <w:t xml:space="preserve"> </w:t>
      </w:r>
      <w:r w:rsidR="00B94A7E">
        <w:t>24</w:t>
      </w:r>
      <w:r>
        <w:t>, 202</w:t>
      </w:r>
      <w:r w:rsidR="00B94A7E">
        <w:t>4</w:t>
      </w:r>
      <w:r w:rsidR="00AB1236">
        <w:t xml:space="preserve">, </w:t>
      </w:r>
      <w:r w:rsidR="00A93605">
        <w:t>minutes, second by</w:t>
      </w:r>
      <w:r w:rsidR="004A5C07">
        <w:t xml:space="preserve"> Jodi Berscheid</w:t>
      </w:r>
      <w:r w:rsidR="005C4EAB">
        <w:t>.</w:t>
      </w:r>
      <w:r w:rsidR="00A93605">
        <w:t xml:space="preserve">  All voted in favor. Motion carried.</w:t>
      </w:r>
    </w:p>
    <w:p w14:paraId="31974660" w14:textId="137392D1" w:rsidR="00A93605" w:rsidRDefault="00A93605" w:rsidP="003373EC">
      <w:pPr>
        <w:pStyle w:val="NoSpacing"/>
      </w:pPr>
    </w:p>
    <w:p w14:paraId="53D40968" w14:textId="78064020" w:rsidR="00A93605" w:rsidRPr="001D2C87" w:rsidRDefault="00A93605" w:rsidP="003373EC">
      <w:pPr>
        <w:pStyle w:val="NoSpacing"/>
        <w:rPr>
          <w:b/>
          <w:bCs/>
        </w:rPr>
      </w:pPr>
      <w:r w:rsidRPr="001D2C87">
        <w:rPr>
          <w:b/>
          <w:bCs/>
        </w:rPr>
        <w:t>Public Comment</w:t>
      </w:r>
    </w:p>
    <w:p w14:paraId="22D6FC05" w14:textId="70D91AA1" w:rsidR="00A93605" w:rsidRDefault="00A93605" w:rsidP="003373EC">
      <w:pPr>
        <w:pStyle w:val="NoSpacing"/>
      </w:pPr>
      <w:r>
        <w:t xml:space="preserve">No public comment was offered. </w:t>
      </w:r>
    </w:p>
    <w:p w14:paraId="01DB924D" w14:textId="472C8DBA" w:rsidR="00BB49FD" w:rsidRDefault="00BB49FD" w:rsidP="003373EC">
      <w:pPr>
        <w:pStyle w:val="NoSpacing"/>
      </w:pPr>
    </w:p>
    <w:p w14:paraId="2E8E53C8" w14:textId="50D00CF9" w:rsidR="00CF67CA" w:rsidRPr="00ED1BA8" w:rsidRDefault="00CF67CA" w:rsidP="003373EC">
      <w:pPr>
        <w:pStyle w:val="NoSpacing"/>
      </w:pPr>
      <w:r>
        <w:rPr>
          <w:b/>
          <w:bCs/>
        </w:rPr>
        <w:t xml:space="preserve">Birth to Three Office Updates: </w:t>
      </w:r>
    </w:p>
    <w:p w14:paraId="5EDB3D1B" w14:textId="36221EDE" w:rsidR="00CF67CA" w:rsidRDefault="00ED1BA8" w:rsidP="003373EC">
      <w:pPr>
        <w:pStyle w:val="NoSpacing"/>
      </w:pPr>
      <w:r>
        <w:t>Sarah Carter</w:t>
      </w:r>
      <w:r w:rsidR="007A1893">
        <w:t xml:space="preserve">, director Birth to Three program </w:t>
      </w:r>
      <w:r w:rsidR="001F1D1F">
        <w:t xml:space="preserve">informed the Council </w:t>
      </w:r>
      <w:r w:rsidR="00EB266A">
        <w:t xml:space="preserve">would need to elect a chairperson for the 2025 calendar year.  Election of this person will take place at the January meeting.  Individuals interested should contact Sarah or current chair Rochelle Holloway. </w:t>
      </w:r>
    </w:p>
    <w:p w14:paraId="66C27B64" w14:textId="77777777" w:rsidR="00EB266A" w:rsidRDefault="00EB266A" w:rsidP="003373EC">
      <w:pPr>
        <w:pStyle w:val="NoSpacing"/>
      </w:pPr>
    </w:p>
    <w:p w14:paraId="1FF6C2F7" w14:textId="6AD34069" w:rsidR="00EB266A" w:rsidRDefault="00EB266A" w:rsidP="003373EC">
      <w:pPr>
        <w:pStyle w:val="NoSpacing"/>
      </w:pPr>
      <w:r>
        <w:t xml:space="preserve">Carter presented an update on the Birth to Three new comprehensive data system that launch 81/2025. The system, South Dakota Early Intervention Data System, is referred to as SEIDS (seeds).  The state has been very pleased with the system.  Carter noted, </w:t>
      </w:r>
      <w:r w:rsidR="008A1250">
        <w:t xml:space="preserve">the state met with the vendor in </w:t>
      </w:r>
      <w:r>
        <w:t xml:space="preserve">February 2024, </w:t>
      </w:r>
      <w:r w:rsidR="008A1250">
        <w:t xml:space="preserve">to begin work </w:t>
      </w:r>
      <w:r>
        <w:t>and by late April a select group of users were being trained in the system.  Over the course of the summer, state staff entered 300+ agencies and 500</w:t>
      </w:r>
      <w:r w:rsidR="008A1250">
        <w:t>+</w:t>
      </w:r>
      <w:r>
        <w:t xml:space="preserve"> individual providers, into the new system.  </w:t>
      </w:r>
      <w:r w:rsidR="008A1250">
        <w:t xml:space="preserve">Over 1000 child records were entered into the system by service coordinators throughout the state. </w:t>
      </w:r>
    </w:p>
    <w:p w14:paraId="13A09F09" w14:textId="77777777" w:rsidR="008A1250" w:rsidRDefault="008A1250" w:rsidP="003373EC">
      <w:pPr>
        <w:pStyle w:val="NoSpacing"/>
      </w:pPr>
    </w:p>
    <w:p w14:paraId="7CB6E455" w14:textId="2C8AD597" w:rsidR="004B4D6F" w:rsidRDefault="008A1250" w:rsidP="003373EC">
      <w:pPr>
        <w:pStyle w:val="NoSpacing"/>
      </w:pPr>
      <w:r>
        <w:t xml:space="preserve">Carter explained the system has a significant more amount of data points that previously were not readily available to state staff. ICC members who are providers, described their experience with the system and their appreciation of the availability of information to them regarding the families and children they serve.  </w:t>
      </w:r>
    </w:p>
    <w:p w14:paraId="1BE52A4F" w14:textId="77777777" w:rsidR="008A1250" w:rsidRDefault="008A1250" w:rsidP="003373EC">
      <w:pPr>
        <w:pStyle w:val="NoSpacing"/>
      </w:pPr>
    </w:p>
    <w:p w14:paraId="36C25FE0" w14:textId="06B183B5" w:rsidR="00D36B8D" w:rsidRDefault="008A1250" w:rsidP="003373EC">
      <w:pPr>
        <w:pStyle w:val="NoSpacing"/>
      </w:pPr>
      <w:r>
        <w:t xml:space="preserve">ICC Chair Rochelle Holloway presented members with a </w:t>
      </w:r>
      <w:r w:rsidR="00851D94">
        <w:t xml:space="preserve">recently released </w:t>
      </w:r>
      <w:r>
        <w:t xml:space="preserve">report </w:t>
      </w:r>
      <w:r w:rsidR="00851D94">
        <w:t>to the</w:t>
      </w:r>
      <w:r>
        <w:t xml:space="preserve"> federal Office of Special Education (OSEP)</w:t>
      </w:r>
      <w:r w:rsidR="00851D94">
        <w:t xml:space="preserve">.  OSEP had requested the Early Childhood Technical Assistance Center (ECTA) to present them with states who are leading the way in using data to improve outcomes for children and families.  South Dakota was recognized for efforts to strengthen state, the </w:t>
      </w:r>
      <w:proofErr w:type="gramStart"/>
      <w:r w:rsidR="00851D94">
        <w:t>ICC</w:t>
      </w:r>
      <w:proofErr w:type="gramEnd"/>
      <w:r w:rsidR="00851D94">
        <w:t xml:space="preserve"> and local programs in strengthening their culture of data use.  South Dakota was one of seven states presented for their promising practices.  </w:t>
      </w:r>
    </w:p>
    <w:p w14:paraId="7B5D3007" w14:textId="77777777" w:rsidR="006E4BC9" w:rsidRDefault="006E4BC9" w:rsidP="003373EC">
      <w:pPr>
        <w:pStyle w:val="NoSpacing"/>
      </w:pPr>
    </w:p>
    <w:p w14:paraId="5AA5945C" w14:textId="1D396EAE" w:rsidR="00E917BE" w:rsidRDefault="004C485A" w:rsidP="003373EC">
      <w:pPr>
        <w:pStyle w:val="NoSpacing"/>
        <w:rPr>
          <w:b/>
          <w:bCs/>
        </w:rPr>
      </w:pPr>
      <w:r>
        <w:rPr>
          <w:b/>
          <w:bCs/>
        </w:rPr>
        <w:t>SD Head Start Collaboration Visions:</w:t>
      </w:r>
      <w:r w:rsidR="00E917BE">
        <w:rPr>
          <w:b/>
          <w:bCs/>
        </w:rPr>
        <w:t xml:space="preserve"> </w:t>
      </w:r>
      <w:r>
        <w:rPr>
          <w:b/>
          <w:bCs/>
        </w:rPr>
        <w:t>Collaboration for Comm</w:t>
      </w:r>
      <w:r w:rsidR="00E917BE">
        <w:rPr>
          <w:b/>
          <w:bCs/>
        </w:rPr>
        <w:t xml:space="preserve">unity Impact </w:t>
      </w:r>
    </w:p>
    <w:p w14:paraId="1CAEA1A4" w14:textId="7D7FCE13" w:rsidR="00C439A0" w:rsidRDefault="00851D94" w:rsidP="003373EC">
      <w:pPr>
        <w:pStyle w:val="NoSpacing"/>
      </w:pPr>
      <w:r>
        <w:t xml:space="preserve">ICC member </w:t>
      </w:r>
      <w:r w:rsidR="0032341B">
        <w:t>Jodi Berscheid,</w:t>
      </w:r>
      <w:r>
        <w:t xml:space="preserve"> Head Start Collaboration Coordinator, </w:t>
      </w:r>
      <w:r w:rsidR="008818BB">
        <w:t xml:space="preserve">presented </w:t>
      </w:r>
      <w:r>
        <w:t>information to ICC members on the role of the Head Start Collaboration Office, including the national priorities and in turn state priorities.  Jodi spoke to the five-year grant cycle and input sought from stakeholders for completing a portion of the grant known</w:t>
      </w:r>
      <w:r w:rsidR="008818BB">
        <w:t xml:space="preserve"> </w:t>
      </w:r>
      <w:r>
        <w:t xml:space="preserve">as the Needs Assessment.  After a </w:t>
      </w:r>
      <w:r w:rsidR="00AF6AD2">
        <w:t>question-and-answer</w:t>
      </w:r>
      <w:r>
        <w:t xml:space="preserve"> time, Jodi asked members to please complete the survey and return to her.  </w:t>
      </w:r>
    </w:p>
    <w:p w14:paraId="793EFBF6" w14:textId="77777777" w:rsidR="00BC5346" w:rsidRDefault="00BC5346" w:rsidP="003373EC">
      <w:pPr>
        <w:pStyle w:val="NoSpacing"/>
      </w:pPr>
    </w:p>
    <w:p w14:paraId="56A2934F" w14:textId="5F1F372C" w:rsidR="00BC5346" w:rsidRDefault="00BC5346" w:rsidP="003373EC">
      <w:pPr>
        <w:pStyle w:val="NoSpacing"/>
      </w:pPr>
      <w:r>
        <w:t>ICC Chair Holloway called for a lunch recess at 11:57am</w:t>
      </w:r>
    </w:p>
    <w:p w14:paraId="1C9FBF71" w14:textId="77777777" w:rsidR="00BC5346" w:rsidRDefault="00BC5346" w:rsidP="003373EC">
      <w:pPr>
        <w:pStyle w:val="NoSpacing"/>
      </w:pPr>
    </w:p>
    <w:p w14:paraId="46FBEB39" w14:textId="5A0D3DB4" w:rsidR="00BC5346" w:rsidRDefault="00BC5346" w:rsidP="003373EC">
      <w:pPr>
        <w:pStyle w:val="NoSpacing"/>
      </w:pPr>
      <w:r>
        <w:t>ICC Chair Holloway called the meeting back in session at 1:06pm</w:t>
      </w:r>
    </w:p>
    <w:p w14:paraId="2A00BBA9" w14:textId="77777777" w:rsidR="008C45F7" w:rsidRDefault="008C45F7" w:rsidP="003373EC">
      <w:pPr>
        <w:pStyle w:val="NoSpacing"/>
      </w:pPr>
    </w:p>
    <w:p w14:paraId="29613CB5" w14:textId="0300513B" w:rsidR="008C45F7" w:rsidRPr="00813B93" w:rsidRDefault="008C45F7" w:rsidP="003373EC">
      <w:pPr>
        <w:pStyle w:val="NoSpacing"/>
        <w:rPr>
          <w:b/>
          <w:bCs/>
        </w:rPr>
      </w:pPr>
      <w:r w:rsidRPr="00813B93">
        <w:rPr>
          <w:b/>
          <w:bCs/>
        </w:rPr>
        <w:t>National Update -Part C</w:t>
      </w:r>
    </w:p>
    <w:p w14:paraId="2D00FAFF" w14:textId="2EA3A214" w:rsidR="008C45F7" w:rsidRDefault="008C45F7" w:rsidP="003373EC">
      <w:pPr>
        <w:pStyle w:val="NoSpacing"/>
      </w:pPr>
      <w:r>
        <w:t>Sharon Walsh</w:t>
      </w:r>
      <w:r w:rsidR="00BC5346">
        <w:t xml:space="preserve">, technical assistance with ECTA and DaSy, informed members of matters happening at the federal level as it relates to IDEA and Part C which governs the Birth to Three program. Items discussed were FFY 2025 funding, timelines for congress, and any potential impacts to Part C nationally. </w:t>
      </w:r>
    </w:p>
    <w:p w14:paraId="73DFD688" w14:textId="77777777" w:rsidR="006E4BC9" w:rsidRDefault="006E4BC9" w:rsidP="003373EC">
      <w:pPr>
        <w:pStyle w:val="NoSpacing"/>
      </w:pPr>
    </w:p>
    <w:p w14:paraId="3B7C48A8" w14:textId="655FA9CD" w:rsidR="004077F6" w:rsidRDefault="004077F6" w:rsidP="003373EC">
      <w:pPr>
        <w:pStyle w:val="NoSpacing"/>
        <w:rPr>
          <w:b/>
          <w:bCs/>
        </w:rPr>
      </w:pPr>
      <w:r>
        <w:rPr>
          <w:b/>
          <w:bCs/>
        </w:rPr>
        <w:t xml:space="preserve">OSEP DMS 2.0 </w:t>
      </w:r>
    </w:p>
    <w:p w14:paraId="43EEE1E7" w14:textId="3968EAC1" w:rsidR="004077F6" w:rsidRPr="004077F6" w:rsidRDefault="004077F6" w:rsidP="003373EC">
      <w:pPr>
        <w:pStyle w:val="NoSpacing"/>
      </w:pPr>
      <w:r w:rsidRPr="004077F6">
        <w:lastRenderedPageBreak/>
        <w:t>Carter informed members the state had been notified by the federal Office of Special Education to expect a</w:t>
      </w:r>
      <w:r>
        <w:t xml:space="preserve">n onsite </w:t>
      </w:r>
      <w:r w:rsidRPr="004077F6">
        <w:t xml:space="preserve">review in September of 2026. </w:t>
      </w:r>
      <w:r>
        <w:t xml:space="preserve"> Carter and Walsh reminded ICC members of what the DMS 2.0 visit would entail including the process, </w:t>
      </w:r>
      <w:proofErr w:type="gramStart"/>
      <w:r>
        <w:t>timelines,  and</w:t>
      </w:r>
      <w:proofErr w:type="gramEnd"/>
      <w:r>
        <w:t xml:space="preserve"> expectation that OSEP will want to speak with ICC members about the program.  The state will keep members apprised as more is known.  </w:t>
      </w:r>
    </w:p>
    <w:p w14:paraId="1F16E9C0" w14:textId="77777777" w:rsidR="004077F6" w:rsidRDefault="004077F6" w:rsidP="003373EC">
      <w:pPr>
        <w:pStyle w:val="NoSpacing"/>
        <w:rPr>
          <w:b/>
          <w:bCs/>
        </w:rPr>
      </w:pPr>
    </w:p>
    <w:p w14:paraId="4F8AF5CA" w14:textId="77777777" w:rsidR="004077F6" w:rsidRDefault="004077F6" w:rsidP="003373EC">
      <w:pPr>
        <w:pStyle w:val="NoSpacing"/>
        <w:rPr>
          <w:b/>
          <w:bCs/>
        </w:rPr>
      </w:pPr>
    </w:p>
    <w:p w14:paraId="5064959F" w14:textId="241B042F" w:rsidR="006E4BC9" w:rsidRPr="00F917DD" w:rsidRDefault="00F917DD" w:rsidP="003373EC">
      <w:pPr>
        <w:pStyle w:val="NoSpacing"/>
        <w:rPr>
          <w:b/>
          <w:bCs/>
        </w:rPr>
      </w:pPr>
      <w:r w:rsidRPr="00F917DD">
        <w:rPr>
          <w:b/>
          <w:bCs/>
        </w:rPr>
        <w:t xml:space="preserve">FFY2023 SPP/APR Submission: </w:t>
      </w:r>
    </w:p>
    <w:p w14:paraId="2E7550DE" w14:textId="1331B9AE" w:rsidR="004077F6" w:rsidRDefault="004077F6" w:rsidP="004077F6">
      <w:pPr>
        <w:pStyle w:val="NoSpacing"/>
        <w:rPr>
          <w:rFonts w:cstheme="minorHAnsi"/>
        </w:rPr>
      </w:pPr>
      <w:r w:rsidRPr="00387653">
        <w:rPr>
          <w:rFonts w:cstheme="minorHAnsi"/>
        </w:rPr>
        <w:t xml:space="preserve">Carter </w:t>
      </w:r>
      <w:r>
        <w:rPr>
          <w:rFonts w:cstheme="minorHAnsi"/>
        </w:rPr>
        <w:t xml:space="preserve">presented the </w:t>
      </w:r>
      <w:r w:rsidRPr="00387653">
        <w:rPr>
          <w:rFonts w:cstheme="minorHAnsi"/>
        </w:rPr>
        <w:t>FFY</w:t>
      </w:r>
      <w:r>
        <w:rPr>
          <w:rFonts w:cstheme="minorHAnsi"/>
        </w:rPr>
        <w:t xml:space="preserve"> </w:t>
      </w:r>
      <w:r w:rsidRPr="00387653">
        <w:rPr>
          <w:rFonts w:cstheme="minorHAnsi"/>
        </w:rPr>
        <w:t>202</w:t>
      </w:r>
      <w:r>
        <w:rPr>
          <w:rFonts w:cstheme="minorHAnsi"/>
        </w:rPr>
        <w:t>3</w:t>
      </w:r>
      <w:r w:rsidRPr="00387653">
        <w:rPr>
          <w:rFonts w:cstheme="minorHAnsi"/>
        </w:rPr>
        <w:t xml:space="preserve"> State Performance Plan / Annual Performance Report (SPP/APR)</w:t>
      </w:r>
      <w:r>
        <w:rPr>
          <w:rFonts w:cstheme="minorHAnsi"/>
        </w:rPr>
        <w:t xml:space="preserve"> comprised of performance from 7/1/2023 through 6/30/2024, that will be submitted by February 3, 2025, to the Office of Special Education Programs (OSEP).  </w:t>
      </w:r>
      <w:r w:rsidRPr="00387653">
        <w:rPr>
          <w:rFonts w:cstheme="minorHAnsi"/>
        </w:rPr>
        <w:t xml:space="preserve"> </w:t>
      </w:r>
      <w:r>
        <w:rPr>
          <w:rFonts w:cstheme="minorHAnsi"/>
        </w:rPr>
        <w:t xml:space="preserve">Carter shared common terms </w:t>
      </w:r>
      <w:r w:rsidRPr="00387653">
        <w:rPr>
          <w:rFonts w:cstheme="minorHAnsi"/>
        </w:rPr>
        <w:t xml:space="preserve">and definitions that </w:t>
      </w:r>
      <w:r>
        <w:rPr>
          <w:rFonts w:cstheme="minorHAnsi"/>
        </w:rPr>
        <w:t>are part of the</w:t>
      </w:r>
      <w:r w:rsidRPr="00387653">
        <w:rPr>
          <w:rFonts w:cstheme="minorHAnsi"/>
        </w:rPr>
        <w:t xml:space="preserve"> presentation including defining the </w:t>
      </w:r>
      <w:r>
        <w:rPr>
          <w:rFonts w:cstheme="minorHAnsi"/>
        </w:rPr>
        <w:t>twelve</w:t>
      </w:r>
      <w:r w:rsidRPr="00387653">
        <w:rPr>
          <w:rFonts w:cstheme="minorHAnsi"/>
        </w:rPr>
        <w:t xml:space="preserve"> indicators that made up the full SPP/APR package. Carter explained the state has been busy analyzing the data </w:t>
      </w:r>
      <w:r>
        <w:rPr>
          <w:rFonts w:cstheme="minorHAnsi"/>
        </w:rPr>
        <w:t xml:space="preserve">and today would present data related to several indicators.  </w:t>
      </w:r>
    </w:p>
    <w:p w14:paraId="65AC2FFC" w14:textId="77777777" w:rsidR="004077F6" w:rsidRDefault="004077F6" w:rsidP="004077F6">
      <w:pPr>
        <w:pStyle w:val="NoSpacing"/>
        <w:rPr>
          <w:rFonts w:cstheme="minorHAnsi"/>
        </w:rPr>
      </w:pPr>
    </w:p>
    <w:p w14:paraId="59207214" w14:textId="278A0CE2" w:rsidR="004077F6" w:rsidRDefault="004077F6" w:rsidP="004077F6">
      <w:pPr>
        <w:pStyle w:val="NoSpacing"/>
        <w:rPr>
          <w:rFonts w:cstheme="minorHAnsi"/>
        </w:rPr>
      </w:pPr>
      <w:r>
        <w:rPr>
          <w:rFonts w:cstheme="minorHAnsi"/>
        </w:rPr>
        <w:t xml:space="preserve">Indicators </w:t>
      </w:r>
      <w:r w:rsidRPr="00387653">
        <w:rPr>
          <w:rFonts w:cstheme="minorHAnsi"/>
        </w:rPr>
        <w:t>C1, C7 and C8 are considered compliance indicators</w:t>
      </w:r>
      <w:r>
        <w:rPr>
          <w:rFonts w:cstheme="minorHAnsi"/>
        </w:rPr>
        <w:t xml:space="preserve"> with </w:t>
      </w:r>
      <w:r w:rsidRPr="00387653">
        <w:rPr>
          <w:rFonts w:cstheme="minorHAnsi"/>
        </w:rPr>
        <w:t xml:space="preserve">targets </w:t>
      </w:r>
      <w:r>
        <w:rPr>
          <w:rFonts w:cstheme="minorHAnsi"/>
        </w:rPr>
        <w:t xml:space="preserve">of 100% established </w:t>
      </w:r>
      <w:r w:rsidRPr="00387653">
        <w:rPr>
          <w:rFonts w:cstheme="minorHAnsi"/>
        </w:rPr>
        <w:t xml:space="preserve">by OSEP.  </w:t>
      </w:r>
      <w:r>
        <w:rPr>
          <w:rFonts w:cstheme="minorHAnsi"/>
        </w:rPr>
        <w:t>Carter explained the monitoring period for these compliance indicators reflect the second quarter of FFY 2023, 10/1/2023 through 12/31/2023. The state’s performance is as follows:</w:t>
      </w:r>
    </w:p>
    <w:p w14:paraId="49FC2E54" w14:textId="77777777" w:rsidR="004077F6" w:rsidRDefault="004077F6" w:rsidP="004077F6">
      <w:pPr>
        <w:pStyle w:val="NoSpacing"/>
        <w:rPr>
          <w:rFonts w:cstheme="minorHAnsi"/>
        </w:rPr>
      </w:pPr>
    </w:p>
    <w:p w14:paraId="02626D24" w14:textId="4CC55935" w:rsidR="004077F6" w:rsidRDefault="004077F6" w:rsidP="004077F6">
      <w:pPr>
        <w:pStyle w:val="NoSpacing"/>
        <w:rPr>
          <w:rFonts w:cstheme="minorHAnsi"/>
        </w:rPr>
      </w:pPr>
      <w:r w:rsidRPr="00387653">
        <w:rPr>
          <w:rFonts w:cstheme="minorHAnsi"/>
        </w:rPr>
        <w:t>Indicator C1: Timely Provision of Services</w:t>
      </w:r>
    </w:p>
    <w:tbl>
      <w:tblPr>
        <w:tblStyle w:val="TableGrid"/>
        <w:tblW w:w="10350" w:type="dxa"/>
        <w:tblInd w:w="-95" w:type="dxa"/>
        <w:tblLook w:val="04A0" w:firstRow="1" w:lastRow="0" w:firstColumn="1" w:lastColumn="0" w:noHBand="0" w:noVBand="1"/>
      </w:tblPr>
      <w:tblGrid>
        <w:gridCol w:w="1207"/>
        <w:gridCol w:w="3261"/>
        <w:gridCol w:w="1279"/>
        <w:gridCol w:w="573"/>
        <w:gridCol w:w="835"/>
        <w:gridCol w:w="835"/>
        <w:gridCol w:w="841"/>
        <w:gridCol w:w="688"/>
        <w:gridCol w:w="831"/>
      </w:tblGrid>
      <w:tr w:rsidR="004077F6" w14:paraId="457A062B" w14:textId="77777777" w:rsidTr="009A3850">
        <w:tc>
          <w:tcPr>
            <w:tcW w:w="1250" w:type="dxa"/>
            <w:vAlign w:val="center"/>
          </w:tcPr>
          <w:p w14:paraId="1501A21F" w14:textId="77777777" w:rsidR="004077F6" w:rsidRPr="006B2629" w:rsidRDefault="004077F6" w:rsidP="009A3850">
            <w:pPr>
              <w:pStyle w:val="NoSpacing"/>
              <w:jc w:val="center"/>
              <w:rPr>
                <w:rFonts w:cstheme="minorHAnsi"/>
                <w:sz w:val="18"/>
                <w:szCs w:val="18"/>
              </w:rPr>
            </w:pPr>
            <w:r w:rsidRPr="006B2629">
              <w:rPr>
                <w:rFonts w:cstheme="minorHAnsi"/>
                <w:sz w:val="18"/>
                <w:szCs w:val="18"/>
              </w:rPr>
              <w:t>Total # of I/T with IFSPs</w:t>
            </w:r>
          </w:p>
        </w:tc>
        <w:tc>
          <w:tcPr>
            <w:tcW w:w="3430" w:type="dxa"/>
            <w:vAlign w:val="center"/>
          </w:tcPr>
          <w:p w14:paraId="7AB540E6" w14:textId="77777777" w:rsidR="004077F6" w:rsidRPr="006B2629" w:rsidRDefault="004077F6" w:rsidP="009A3850">
            <w:pPr>
              <w:pStyle w:val="NoSpacing"/>
              <w:jc w:val="center"/>
              <w:rPr>
                <w:rFonts w:cstheme="minorHAnsi"/>
                <w:sz w:val="18"/>
                <w:szCs w:val="18"/>
              </w:rPr>
            </w:pPr>
            <w:r w:rsidRPr="006B2629">
              <w:rPr>
                <w:rFonts w:cstheme="minorHAnsi"/>
                <w:sz w:val="18"/>
                <w:szCs w:val="18"/>
              </w:rPr>
              <w:t># of I/T with IFSP who receive the EI services on their IFSP in a timely manner</w:t>
            </w:r>
          </w:p>
        </w:tc>
        <w:tc>
          <w:tcPr>
            <w:tcW w:w="1082" w:type="dxa"/>
            <w:vAlign w:val="center"/>
          </w:tcPr>
          <w:p w14:paraId="1687ACE5" w14:textId="77777777" w:rsidR="004077F6" w:rsidRPr="006B2629" w:rsidRDefault="004077F6" w:rsidP="009A3850">
            <w:pPr>
              <w:pStyle w:val="NoSpacing"/>
              <w:jc w:val="center"/>
              <w:rPr>
                <w:rFonts w:cstheme="minorHAnsi"/>
                <w:sz w:val="18"/>
                <w:szCs w:val="18"/>
              </w:rPr>
            </w:pPr>
            <w:r w:rsidRPr="006B2629">
              <w:rPr>
                <w:rFonts w:cstheme="minorHAnsi"/>
                <w:sz w:val="18"/>
                <w:szCs w:val="18"/>
              </w:rPr>
              <w:t>Exceptional</w:t>
            </w:r>
          </w:p>
          <w:p w14:paraId="6E00920C" w14:textId="77777777" w:rsidR="004077F6" w:rsidRPr="006B2629" w:rsidRDefault="004077F6" w:rsidP="009A3850">
            <w:pPr>
              <w:pStyle w:val="NoSpacing"/>
              <w:jc w:val="center"/>
              <w:rPr>
                <w:rFonts w:cstheme="minorHAnsi"/>
                <w:sz w:val="18"/>
                <w:szCs w:val="18"/>
              </w:rPr>
            </w:pPr>
            <w:r w:rsidRPr="006B2629">
              <w:rPr>
                <w:rFonts w:cstheme="minorHAnsi"/>
                <w:sz w:val="18"/>
                <w:szCs w:val="18"/>
              </w:rPr>
              <w:t>Family Circumstances</w:t>
            </w:r>
          </w:p>
        </w:tc>
        <w:tc>
          <w:tcPr>
            <w:tcW w:w="575" w:type="dxa"/>
            <w:vAlign w:val="center"/>
          </w:tcPr>
          <w:p w14:paraId="26EFD3CB" w14:textId="77777777" w:rsidR="004077F6" w:rsidRPr="006B2629" w:rsidRDefault="004077F6" w:rsidP="009A3850">
            <w:pPr>
              <w:pStyle w:val="NoSpacing"/>
              <w:jc w:val="center"/>
              <w:rPr>
                <w:rFonts w:cstheme="minorHAnsi"/>
                <w:sz w:val="18"/>
                <w:szCs w:val="18"/>
              </w:rPr>
            </w:pPr>
            <w:r w:rsidRPr="006B2629">
              <w:rPr>
                <w:rFonts w:cstheme="minorHAnsi"/>
                <w:sz w:val="18"/>
                <w:szCs w:val="18"/>
              </w:rPr>
              <w:t>NOT EFC</w:t>
            </w:r>
          </w:p>
        </w:tc>
        <w:tc>
          <w:tcPr>
            <w:tcW w:w="835" w:type="dxa"/>
            <w:vAlign w:val="center"/>
          </w:tcPr>
          <w:p w14:paraId="599CC8EB" w14:textId="216AF6FD"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2</w:t>
            </w:r>
            <w:r w:rsidRPr="006B2629">
              <w:rPr>
                <w:rFonts w:cstheme="minorHAnsi"/>
                <w:sz w:val="18"/>
                <w:szCs w:val="18"/>
              </w:rPr>
              <w:t xml:space="preserve"> Data</w:t>
            </w:r>
          </w:p>
        </w:tc>
        <w:tc>
          <w:tcPr>
            <w:tcW w:w="835" w:type="dxa"/>
            <w:vAlign w:val="center"/>
          </w:tcPr>
          <w:p w14:paraId="6ED4C5B8" w14:textId="6E016F48" w:rsidR="004077F6" w:rsidRPr="006B2629" w:rsidRDefault="004077F6" w:rsidP="009A3850">
            <w:pPr>
              <w:pStyle w:val="NoSpacing"/>
              <w:jc w:val="center"/>
              <w:rPr>
                <w:rFonts w:cstheme="minorHAnsi"/>
                <w:sz w:val="18"/>
                <w:szCs w:val="18"/>
              </w:rPr>
            </w:pPr>
            <w:r w:rsidRPr="006B2629">
              <w:rPr>
                <w:rFonts w:cstheme="minorHAnsi"/>
                <w:sz w:val="18"/>
                <w:szCs w:val="18"/>
              </w:rPr>
              <w:t>FFY20</w:t>
            </w:r>
            <w:r>
              <w:rPr>
                <w:rFonts w:cstheme="minorHAnsi"/>
                <w:sz w:val="18"/>
                <w:szCs w:val="18"/>
              </w:rPr>
              <w:t>23</w:t>
            </w:r>
            <w:r w:rsidRPr="006B2629">
              <w:rPr>
                <w:rFonts w:cstheme="minorHAnsi"/>
                <w:sz w:val="18"/>
                <w:szCs w:val="18"/>
              </w:rPr>
              <w:t xml:space="preserve"> Target</w:t>
            </w:r>
          </w:p>
        </w:tc>
        <w:tc>
          <w:tcPr>
            <w:tcW w:w="841" w:type="dxa"/>
            <w:vAlign w:val="center"/>
          </w:tcPr>
          <w:p w14:paraId="73B228B0" w14:textId="7C736E4B"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 xml:space="preserve">3 </w:t>
            </w:r>
            <w:r w:rsidRPr="006B2629">
              <w:rPr>
                <w:rFonts w:cstheme="minorHAnsi"/>
                <w:sz w:val="18"/>
                <w:szCs w:val="18"/>
              </w:rPr>
              <w:t>Data</w:t>
            </w:r>
          </w:p>
        </w:tc>
        <w:tc>
          <w:tcPr>
            <w:tcW w:w="671" w:type="dxa"/>
            <w:vAlign w:val="center"/>
          </w:tcPr>
          <w:p w14:paraId="14CFEA17"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Status</w:t>
            </w:r>
          </w:p>
        </w:tc>
        <w:tc>
          <w:tcPr>
            <w:tcW w:w="831" w:type="dxa"/>
            <w:vAlign w:val="center"/>
          </w:tcPr>
          <w:p w14:paraId="07543B77"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Slippage</w:t>
            </w:r>
          </w:p>
        </w:tc>
      </w:tr>
      <w:tr w:rsidR="004077F6" w14:paraId="3C18271C" w14:textId="77777777" w:rsidTr="009A3850">
        <w:trPr>
          <w:trHeight w:val="620"/>
        </w:trPr>
        <w:tc>
          <w:tcPr>
            <w:tcW w:w="1250" w:type="dxa"/>
            <w:vAlign w:val="center"/>
          </w:tcPr>
          <w:p w14:paraId="754B7377" w14:textId="67551D90" w:rsidR="004077F6" w:rsidRPr="006B2629" w:rsidRDefault="004077F6" w:rsidP="009A3850">
            <w:pPr>
              <w:pStyle w:val="NoSpacing"/>
              <w:jc w:val="center"/>
              <w:rPr>
                <w:rFonts w:cstheme="minorHAnsi"/>
                <w:sz w:val="18"/>
                <w:szCs w:val="18"/>
              </w:rPr>
            </w:pPr>
            <w:r>
              <w:rPr>
                <w:rFonts w:cstheme="minorHAnsi"/>
                <w:sz w:val="18"/>
                <w:szCs w:val="18"/>
              </w:rPr>
              <w:t>524</w:t>
            </w:r>
          </w:p>
        </w:tc>
        <w:tc>
          <w:tcPr>
            <w:tcW w:w="3430" w:type="dxa"/>
            <w:vAlign w:val="center"/>
          </w:tcPr>
          <w:p w14:paraId="6A997FE2" w14:textId="624BE2F4" w:rsidR="004077F6" w:rsidRPr="006B2629" w:rsidRDefault="004077F6" w:rsidP="009A3850">
            <w:pPr>
              <w:pStyle w:val="NoSpacing"/>
              <w:jc w:val="center"/>
              <w:rPr>
                <w:rFonts w:cstheme="minorHAnsi"/>
                <w:sz w:val="18"/>
                <w:szCs w:val="18"/>
              </w:rPr>
            </w:pPr>
            <w:r>
              <w:rPr>
                <w:rFonts w:cstheme="minorHAnsi"/>
                <w:sz w:val="18"/>
                <w:szCs w:val="18"/>
              </w:rPr>
              <w:t>496</w:t>
            </w:r>
          </w:p>
        </w:tc>
        <w:tc>
          <w:tcPr>
            <w:tcW w:w="1082" w:type="dxa"/>
            <w:vAlign w:val="center"/>
          </w:tcPr>
          <w:p w14:paraId="1DCBF16C" w14:textId="364E3C43" w:rsidR="004077F6" w:rsidRPr="006B2629" w:rsidRDefault="004077F6" w:rsidP="009A3850">
            <w:pPr>
              <w:pStyle w:val="NoSpacing"/>
              <w:jc w:val="center"/>
              <w:rPr>
                <w:rFonts w:cstheme="minorHAnsi"/>
                <w:sz w:val="18"/>
                <w:szCs w:val="18"/>
              </w:rPr>
            </w:pPr>
            <w:r>
              <w:rPr>
                <w:rFonts w:cstheme="minorHAnsi"/>
                <w:sz w:val="18"/>
                <w:szCs w:val="18"/>
              </w:rPr>
              <w:t>28</w:t>
            </w:r>
          </w:p>
        </w:tc>
        <w:tc>
          <w:tcPr>
            <w:tcW w:w="575" w:type="dxa"/>
            <w:vAlign w:val="center"/>
          </w:tcPr>
          <w:p w14:paraId="33F97A6D" w14:textId="77777777" w:rsidR="004077F6" w:rsidRPr="006B2629" w:rsidRDefault="004077F6" w:rsidP="009A3850">
            <w:pPr>
              <w:pStyle w:val="NoSpacing"/>
              <w:jc w:val="center"/>
              <w:rPr>
                <w:rFonts w:cstheme="minorHAnsi"/>
                <w:sz w:val="18"/>
                <w:szCs w:val="18"/>
              </w:rPr>
            </w:pPr>
            <w:r w:rsidRPr="006B2629">
              <w:rPr>
                <w:rFonts w:cstheme="minorHAnsi"/>
                <w:sz w:val="18"/>
                <w:szCs w:val="18"/>
              </w:rPr>
              <w:t>0</w:t>
            </w:r>
          </w:p>
        </w:tc>
        <w:tc>
          <w:tcPr>
            <w:tcW w:w="835" w:type="dxa"/>
            <w:vAlign w:val="center"/>
          </w:tcPr>
          <w:p w14:paraId="04DA784D" w14:textId="11674C0B" w:rsidR="004077F6" w:rsidRPr="006B2629" w:rsidRDefault="004077F6" w:rsidP="009A3850">
            <w:pPr>
              <w:pStyle w:val="NoSpacing"/>
              <w:jc w:val="center"/>
              <w:rPr>
                <w:rFonts w:cstheme="minorHAnsi"/>
                <w:sz w:val="18"/>
                <w:szCs w:val="18"/>
              </w:rPr>
            </w:pPr>
            <w:r>
              <w:rPr>
                <w:rFonts w:cstheme="minorHAnsi"/>
                <w:sz w:val="18"/>
                <w:szCs w:val="18"/>
              </w:rPr>
              <w:t>100%</w:t>
            </w:r>
          </w:p>
        </w:tc>
        <w:tc>
          <w:tcPr>
            <w:tcW w:w="835" w:type="dxa"/>
            <w:vAlign w:val="center"/>
          </w:tcPr>
          <w:p w14:paraId="4C45C723" w14:textId="77777777" w:rsidR="004077F6" w:rsidRPr="006B2629" w:rsidRDefault="004077F6" w:rsidP="009A3850">
            <w:pPr>
              <w:pStyle w:val="NoSpacing"/>
              <w:jc w:val="center"/>
              <w:rPr>
                <w:rFonts w:cstheme="minorHAnsi"/>
                <w:sz w:val="18"/>
                <w:szCs w:val="18"/>
              </w:rPr>
            </w:pPr>
            <w:r w:rsidRPr="006B2629">
              <w:rPr>
                <w:rFonts w:cstheme="minorHAnsi"/>
                <w:sz w:val="18"/>
                <w:szCs w:val="18"/>
              </w:rPr>
              <w:t>100%</w:t>
            </w:r>
          </w:p>
        </w:tc>
        <w:tc>
          <w:tcPr>
            <w:tcW w:w="841" w:type="dxa"/>
            <w:vAlign w:val="center"/>
          </w:tcPr>
          <w:p w14:paraId="2BF56727" w14:textId="77777777" w:rsidR="004077F6" w:rsidRPr="006B2629" w:rsidRDefault="004077F6" w:rsidP="009A3850">
            <w:pPr>
              <w:pStyle w:val="NoSpacing"/>
              <w:jc w:val="center"/>
              <w:rPr>
                <w:rFonts w:cstheme="minorHAnsi"/>
                <w:sz w:val="18"/>
                <w:szCs w:val="18"/>
              </w:rPr>
            </w:pPr>
            <w:r w:rsidRPr="006B2629">
              <w:rPr>
                <w:rFonts w:cstheme="minorHAnsi"/>
                <w:sz w:val="18"/>
                <w:szCs w:val="18"/>
              </w:rPr>
              <w:t>100%</w:t>
            </w:r>
          </w:p>
        </w:tc>
        <w:tc>
          <w:tcPr>
            <w:tcW w:w="671" w:type="dxa"/>
            <w:vAlign w:val="center"/>
          </w:tcPr>
          <w:p w14:paraId="00830A0E" w14:textId="77777777" w:rsidR="004077F6" w:rsidRPr="006B2629" w:rsidRDefault="004077F6" w:rsidP="009A3850">
            <w:pPr>
              <w:pStyle w:val="NoSpacing"/>
              <w:jc w:val="center"/>
              <w:rPr>
                <w:rFonts w:cstheme="minorHAnsi"/>
                <w:sz w:val="18"/>
                <w:szCs w:val="18"/>
              </w:rPr>
            </w:pPr>
            <w:r w:rsidRPr="006B2629">
              <w:rPr>
                <w:rFonts w:cstheme="minorHAnsi"/>
                <w:sz w:val="18"/>
                <w:szCs w:val="18"/>
              </w:rPr>
              <w:t>Met Target</w:t>
            </w:r>
          </w:p>
        </w:tc>
        <w:tc>
          <w:tcPr>
            <w:tcW w:w="831" w:type="dxa"/>
            <w:vAlign w:val="center"/>
          </w:tcPr>
          <w:p w14:paraId="3E25681E" w14:textId="77777777" w:rsidR="004077F6" w:rsidRPr="006B2629" w:rsidRDefault="004077F6" w:rsidP="009A3850">
            <w:pPr>
              <w:pStyle w:val="NoSpacing"/>
              <w:jc w:val="center"/>
              <w:rPr>
                <w:rFonts w:cstheme="minorHAnsi"/>
                <w:sz w:val="18"/>
                <w:szCs w:val="18"/>
              </w:rPr>
            </w:pPr>
            <w:r w:rsidRPr="006B2629">
              <w:rPr>
                <w:rFonts w:cstheme="minorHAnsi"/>
                <w:sz w:val="18"/>
                <w:szCs w:val="18"/>
              </w:rPr>
              <w:t>No Slippage</w:t>
            </w:r>
          </w:p>
        </w:tc>
      </w:tr>
    </w:tbl>
    <w:p w14:paraId="05A124CF" w14:textId="77777777" w:rsidR="004077F6" w:rsidRDefault="004077F6" w:rsidP="004077F6">
      <w:pPr>
        <w:pStyle w:val="NoSpacing"/>
        <w:rPr>
          <w:rFonts w:cstheme="minorHAnsi"/>
        </w:rPr>
      </w:pPr>
    </w:p>
    <w:p w14:paraId="5DD73A8A" w14:textId="77777777" w:rsidR="004077F6" w:rsidRDefault="004077F6" w:rsidP="004077F6">
      <w:pPr>
        <w:pStyle w:val="NoSpacing"/>
        <w:rPr>
          <w:rFonts w:cstheme="minorHAnsi"/>
        </w:rPr>
      </w:pPr>
      <w:r>
        <w:rPr>
          <w:rFonts w:cstheme="minorHAnsi"/>
        </w:rPr>
        <w:t>Indicator C7: 45-day Timeline</w:t>
      </w:r>
    </w:p>
    <w:tbl>
      <w:tblPr>
        <w:tblStyle w:val="TableGrid"/>
        <w:tblW w:w="10350" w:type="dxa"/>
        <w:tblInd w:w="-95" w:type="dxa"/>
        <w:tblLook w:val="04A0" w:firstRow="1" w:lastRow="0" w:firstColumn="1" w:lastColumn="0" w:noHBand="0" w:noVBand="1"/>
      </w:tblPr>
      <w:tblGrid>
        <w:gridCol w:w="2062"/>
        <w:gridCol w:w="2407"/>
        <w:gridCol w:w="1279"/>
        <w:gridCol w:w="572"/>
        <w:gridCol w:w="835"/>
        <w:gridCol w:w="835"/>
        <w:gridCol w:w="841"/>
        <w:gridCol w:w="688"/>
        <w:gridCol w:w="831"/>
      </w:tblGrid>
      <w:tr w:rsidR="004077F6" w14:paraId="73E61506" w14:textId="77777777" w:rsidTr="009A3850">
        <w:tc>
          <w:tcPr>
            <w:tcW w:w="2070" w:type="dxa"/>
            <w:vAlign w:val="center"/>
          </w:tcPr>
          <w:p w14:paraId="24EDB76C" w14:textId="77777777" w:rsidR="004077F6" w:rsidRPr="006B2629" w:rsidRDefault="004077F6" w:rsidP="009A3850">
            <w:pPr>
              <w:pStyle w:val="NoSpacing"/>
              <w:jc w:val="center"/>
              <w:rPr>
                <w:rFonts w:cstheme="minorHAnsi"/>
                <w:sz w:val="18"/>
                <w:szCs w:val="18"/>
              </w:rPr>
            </w:pPr>
            <w:r w:rsidRPr="005E5B10">
              <w:rPr>
                <w:rFonts w:cstheme="minorHAnsi"/>
                <w:sz w:val="18"/>
                <w:szCs w:val="18"/>
              </w:rPr>
              <w:t># eligible I/T evaluat</w:t>
            </w:r>
            <w:r>
              <w:rPr>
                <w:rFonts w:cstheme="minorHAnsi"/>
                <w:sz w:val="18"/>
                <w:szCs w:val="18"/>
              </w:rPr>
              <w:t>ion</w:t>
            </w:r>
            <w:r w:rsidRPr="005E5B10">
              <w:rPr>
                <w:rFonts w:cstheme="minorHAnsi"/>
                <w:sz w:val="18"/>
                <w:szCs w:val="18"/>
              </w:rPr>
              <w:t xml:space="preserve"> &amp; assessed for whom an initial IFSP meeting was required to be conducted</w:t>
            </w:r>
          </w:p>
        </w:tc>
        <w:tc>
          <w:tcPr>
            <w:tcW w:w="2416" w:type="dxa"/>
            <w:vAlign w:val="center"/>
          </w:tcPr>
          <w:p w14:paraId="4EA2644E" w14:textId="77777777" w:rsidR="004077F6" w:rsidRDefault="004077F6" w:rsidP="009A3850">
            <w:pPr>
              <w:pStyle w:val="NoSpacing"/>
              <w:jc w:val="center"/>
              <w:rPr>
                <w:rFonts w:cstheme="minorHAnsi"/>
                <w:sz w:val="18"/>
                <w:szCs w:val="18"/>
              </w:rPr>
            </w:pPr>
            <w:r w:rsidRPr="005E5B10">
              <w:rPr>
                <w:rFonts w:cstheme="minorHAnsi"/>
                <w:sz w:val="18"/>
                <w:szCs w:val="18"/>
              </w:rPr>
              <w:t>Number of eligible I/T with IFSP for whom an initial evaluation &amp; assessment &amp; an initial IFSP meeting was conducted within Part C’s</w:t>
            </w:r>
          </w:p>
          <w:p w14:paraId="46EED569" w14:textId="77777777" w:rsidR="004077F6" w:rsidRPr="006B2629" w:rsidRDefault="004077F6" w:rsidP="009A3850">
            <w:pPr>
              <w:pStyle w:val="NoSpacing"/>
              <w:jc w:val="center"/>
              <w:rPr>
                <w:rFonts w:cstheme="minorHAnsi"/>
                <w:sz w:val="18"/>
                <w:szCs w:val="18"/>
              </w:rPr>
            </w:pPr>
            <w:r>
              <w:rPr>
                <w:rFonts w:cstheme="minorHAnsi"/>
                <w:sz w:val="18"/>
                <w:szCs w:val="18"/>
              </w:rPr>
              <w:t xml:space="preserve"> </w:t>
            </w:r>
            <w:r w:rsidRPr="005E5B10">
              <w:rPr>
                <w:rFonts w:cstheme="minorHAnsi"/>
                <w:sz w:val="18"/>
                <w:szCs w:val="18"/>
              </w:rPr>
              <w:t>45-day timeline</w:t>
            </w:r>
          </w:p>
        </w:tc>
        <w:tc>
          <w:tcPr>
            <w:tcW w:w="1279" w:type="dxa"/>
            <w:vAlign w:val="center"/>
          </w:tcPr>
          <w:p w14:paraId="537DE526" w14:textId="77777777" w:rsidR="004077F6" w:rsidRPr="006B2629" w:rsidRDefault="004077F6" w:rsidP="009A3850">
            <w:pPr>
              <w:pStyle w:val="NoSpacing"/>
              <w:jc w:val="center"/>
              <w:rPr>
                <w:rFonts w:cstheme="minorHAnsi"/>
                <w:sz w:val="18"/>
                <w:szCs w:val="18"/>
              </w:rPr>
            </w:pPr>
            <w:r w:rsidRPr="006B2629">
              <w:rPr>
                <w:rFonts w:cstheme="minorHAnsi"/>
                <w:sz w:val="18"/>
                <w:szCs w:val="18"/>
              </w:rPr>
              <w:t>Exceptional</w:t>
            </w:r>
          </w:p>
          <w:p w14:paraId="1FCCD200" w14:textId="77777777" w:rsidR="004077F6" w:rsidRPr="006B2629" w:rsidRDefault="004077F6" w:rsidP="009A3850">
            <w:pPr>
              <w:pStyle w:val="NoSpacing"/>
              <w:jc w:val="center"/>
              <w:rPr>
                <w:rFonts w:cstheme="minorHAnsi"/>
                <w:sz w:val="18"/>
                <w:szCs w:val="18"/>
              </w:rPr>
            </w:pPr>
            <w:r w:rsidRPr="006B2629">
              <w:rPr>
                <w:rFonts w:cstheme="minorHAnsi"/>
                <w:sz w:val="18"/>
                <w:szCs w:val="18"/>
              </w:rPr>
              <w:t>Family Circumstances</w:t>
            </w:r>
          </w:p>
        </w:tc>
        <w:tc>
          <w:tcPr>
            <w:tcW w:w="572" w:type="dxa"/>
            <w:vAlign w:val="center"/>
          </w:tcPr>
          <w:p w14:paraId="0FA112C2" w14:textId="77777777" w:rsidR="004077F6" w:rsidRPr="006B2629" w:rsidRDefault="004077F6" w:rsidP="009A3850">
            <w:pPr>
              <w:pStyle w:val="NoSpacing"/>
              <w:jc w:val="center"/>
              <w:rPr>
                <w:rFonts w:cstheme="minorHAnsi"/>
                <w:sz w:val="18"/>
                <w:szCs w:val="18"/>
              </w:rPr>
            </w:pPr>
            <w:r w:rsidRPr="006B2629">
              <w:rPr>
                <w:rFonts w:cstheme="minorHAnsi"/>
                <w:sz w:val="18"/>
                <w:szCs w:val="18"/>
              </w:rPr>
              <w:t>NOT EFC</w:t>
            </w:r>
          </w:p>
        </w:tc>
        <w:tc>
          <w:tcPr>
            <w:tcW w:w="835" w:type="dxa"/>
            <w:vAlign w:val="center"/>
          </w:tcPr>
          <w:p w14:paraId="31595E44" w14:textId="6FC04952"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2</w:t>
            </w:r>
            <w:r w:rsidRPr="006B2629">
              <w:rPr>
                <w:rFonts w:cstheme="minorHAnsi"/>
                <w:sz w:val="18"/>
                <w:szCs w:val="18"/>
              </w:rPr>
              <w:t xml:space="preserve"> Data</w:t>
            </w:r>
          </w:p>
        </w:tc>
        <w:tc>
          <w:tcPr>
            <w:tcW w:w="835" w:type="dxa"/>
            <w:vAlign w:val="center"/>
          </w:tcPr>
          <w:p w14:paraId="4C821C9C" w14:textId="5D61CBAD"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3</w:t>
            </w:r>
            <w:r w:rsidRPr="006B2629">
              <w:rPr>
                <w:rFonts w:cstheme="minorHAnsi"/>
                <w:sz w:val="18"/>
                <w:szCs w:val="18"/>
              </w:rPr>
              <w:t xml:space="preserve"> Target</w:t>
            </w:r>
          </w:p>
        </w:tc>
        <w:tc>
          <w:tcPr>
            <w:tcW w:w="841" w:type="dxa"/>
            <w:vAlign w:val="center"/>
          </w:tcPr>
          <w:p w14:paraId="36907892" w14:textId="362581A2"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3</w:t>
            </w:r>
            <w:r w:rsidRPr="006B2629">
              <w:rPr>
                <w:rFonts w:cstheme="minorHAnsi"/>
                <w:sz w:val="18"/>
                <w:szCs w:val="18"/>
              </w:rPr>
              <w:t xml:space="preserve"> Data</w:t>
            </w:r>
          </w:p>
        </w:tc>
        <w:tc>
          <w:tcPr>
            <w:tcW w:w="671" w:type="dxa"/>
            <w:vAlign w:val="center"/>
          </w:tcPr>
          <w:p w14:paraId="5F6E4218"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Status</w:t>
            </w:r>
          </w:p>
        </w:tc>
        <w:tc>
          <w:tcPr>
            <w:tcW w:w="831" w:type="dxa"/>
            <w:vAlign w:val="center"/>
          </w:tcPr>
          <w:p w14:paraId="23EA7062"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Slippage</w:t>
            </w:r>
          </w:p>
        </w:tc>
      </w:tr>
      <w:tr w:rsidR="004077F6" w14:paraId="65342433" w14:textId="77777777" w:rsidTr="009A3850">
        <w:trPr>
          <w:trHeight w:val="548"/>
        </w:trPr>
        <w:tc>
          <w:tcPr>
            <w:tcW w:w="2070" w:type="dxa"/>
            <w:vAlign w:val="center"/>
          </w:tcPr>
          <w:p w14:paraId="5CC17493" w14:textId="5E249E15" w:rsidR="004077F6" w:rsidRPr="006B2629" w:rsidRDefault="004077F6" w:rsidP="009A3850">
            <w:pPr>
              <w:pStyle w:val="NoSpacing"/>
              <w:jc w:val="center"/>
              <w:rPr>
                <w:rFonts w:cstheme="minorHAnsi"/>
                <w:sz w:val="18"/>
                <w:szCs w:val="18"/>
              </w:rPr>
            </w:pPr>
            <w:r>
              <w:rPr>
                <w:rFonts w:cstheme="minorHAnsi"/>
                <w:sz w:val="18"/>
                <w:szCs w:val="18"/>
              </w:rPr>
              <w:t>268</w:t>
            </w:r>
          </w:p>
        </w:tc>
        <w:tc>
          <w:tcPr>
            <w:tcW w:w="2416" w:type="dxa"/>
            <w:vAlign w:val="center"/>
          </w:tcPr>
          <w:p w14:paraId="04A20CBD" w14:textId="17A0190C" w:rsidR="004077F6" w:rsidRPr="006B2629" w:rsidRDefault="004077F6" w:rsidP="009A3850">
            <w:pPr>
              <w:pStyle w:val="NoSpacing"/>
              <w:jc w:val="center"/>
              <w:rPr>
                <w:rFonts w:cstheme="minorHAnsi"/>
                <w:sz w:val="18"/>
                <w:szCs w:val="18"/>
              </w:rPr>
            </w:pPr>
            <w:r>
              <w:rPr>
                <w:rFonts w:cstheme="minorHAnsi"/>
                <w:sz w:val="18"/>
                <w:szCs w:val="18"/>
              </w:rPr>
              <w:t>227</w:t>
            </w:r>
          </w:p>
        </w:tc>
        <w:tc>
          <w:tcPr>
            <w:tcW w:w="1279" w:type="dxa"/>
            <w:vAlign w:val="center"/>
          </w:tcPr>
          <w:p w14:paraId="57CF6043" w14:textId="4808F740" w:rsidR="004077F6" w:rsidRPr="006B2629" w:rsidRDefault="004077F6" w:rsidP="009A3850">
            <w:pPr>
              <w:pStyle w:val="NoSpacing"/>
              <w:jc w:val="center"/>
              <w:rPr>
                <w:rFonts w:cstheme="minorHAnsi"/>
                <w:sz w:val="18"/>
                <w:szCs w:val="18"/>
              </w:rPr>
            </w:pPr>
            <w:r>
              <w:rPr>
                <w:rFonts w:cstheme="minorHAnsi"/>
                <w:sz w:val="18"/>
                <w:szCs w:val="18"/>
              </w:rPr>
              <w:t>41</w:t>
            </w:r>
          </w:p>
        </w:tc>
        <w:tc>
          <w:tcPr>
            <w:tcW w:w="572" w:type="dxa"/>
            <w:vAlign w:val="center"/>
          </w:tcPr>
          <w:p w14:paraId="49ACCD9F" w14:textId="77777777" w:rsidR="004077F6" w:rsidRPr="006B2629" w:rsidRDefault="004077F6" w:rsidP="009A3850">
            <w:pPr>
              <w:pStyle w:val="NoSpacing"/>
              <w:jc w:val="center"/>
              <w:rPr>
                <w:rFonts w:cstheme="minorHAnsi"/>
                <w:sz w:val="18"/>
                <w:szCs w:val="18"/>
              </w:rPr>
            </w:pPr>
            <w:r>
              <w:rPr>
                <w:rFonts w:cstheme="minorHAnsi"/>
                <w:sz w:val="18"/>
                <w:szCs w:val="18"/>
              </w:rPr>
              <w:t>0</w:t>
            </w:r>
          </w:p>
        </w:tc>
        <w:tc>
          <w:tcPr>
            <w:tcW w:w="835" w:type="dxa"/>
            <w:vAlign w:val="center"/>
          </w:tcPr>
          <w:p w14:paraId="05591A17"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835" w:type="dxa"/>
            <w:vAlign w:val="center"/>
          </w:tcPr>
          <w:p w14:paraId="464AA937"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841" w:type="dxa"/>
            <w:vAlign w:val="center"/>
          </w:tcPr>
          <w:p w14:paraId="394A7A0C"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671" w:type="dxa"/>
            <w:vAlign w:val="center"/>
          </w:tcPr>
          <w:p w14:paraId="7938FABE" w14:textId="77777777" w:rsidR="004077F6" w:rsidRPr="006B2629" w:rsidRDefault="004077F6" w:rsidP="009A3850">
            <w:pPr>
              <w:pStyle w:val="NoSpacing"/>
              <w:jc w:val="center"/>
              <w:rPr>
                <w:rFonts w:cstheme="minorHAnsi"/>
                <w:sz w:val="18"/>
                <w:szCs w:val="18"/>
              </w:rPr>
            </w:pPr>
            <w:r>
              <w:rPr>
                <w:rFonts w:cstheme="minorHAnsi"/>
                <w:sz w:val="18"/>
                <w:szCs w:val="18"/>
              </w:rPr>
              <w:t>Met Target</w:t>
            </w:r>
          </w:p>
        </w:tc>
        <w:tc>
          <w:tcPr>
            <w:tcW w:w="831" w:type="dxa"/>
            <w:vAlign w:val="center"/>
          </w:tcPr>
          <w:p w14:paraId="19F849CE" w14:textId="77777777" w:rsidR="004077F6" w:rsidRPr="006B2629" w:rsidRDefault="004077F6" w:rsidP="009A3850">
            <w:pPr>
              <w:pStyle w:val="NoSpacing"/>
              <w:jc w:val="center"/>
              <w:rPr>
                <w:rFonts w:cstheme="minorHAnsi"/>
                <w:sz w:val="18"/>
                <w:szCs w:val="18"/>
              </w:rPr>
            </w:pPr>
            <w:r>
              <w:rPr>
                <w:rFonts w:cstheme="minorHAnsi"/>
                <w:sz w:val="18"/>
                <w:szCs w:val="18"/>
              </w:rPr>
              <w:t>No Slippage</w:t>
            </w:r>
          </w:p>
        </w:tc>
      </w:tr>
    </w:tbl>
    <w:p w14:paraId="6F204F6E" w14:textId="77777777" w:rsidR="00F917DD" w:rsidRDefault="00F917DD" w:rsidP="003373EC">
      <w:pPr>
        <w:pStyle w:val="NoSpacing"/>
      </w:pPr>
    </w:p>
    <w:p w14:paraId="7DFC6FDE" w14:textId="77777777" w:rsidR="004077F6" w:rsidRDefault="004077F6" w:rsidP="004077F6">
      <w:pPr>
        <w:pStyle w:val="NoSpacing"/>
        <w:rPr>
          <w:rFonts w:cstheme="minorHAnsi"/>
        </w:rPr>
      </w:pPr>
      <w:r w:rsidRPr="00387653">
        <w:rPr>
          <w:rFonts w:cstheme="minorHAnsi"/>
        </w:rPr>
        <w:t>Indicator C8</w:t>
      </w:r>
      <w:r>
        <w:rPr>
          <w:rFonts w:cstheme="minorHAnsi"/>
        </w:rPr>
        <w:t>A</w:t>
      </w:r>
      <w:r w:rsidRPr="00387653">
        <w:rPr>
          <w:rFonts w:cstheme="minorHAnsi"/>
        </w:rPr>
        <w:t xml:space="preserve">: </w:t>
      </w:r>
      <w:r>
        <w:rPr>
          <w:rFonts w:cstheme="minorHAnsi"/>
        </w:rPr>
        <w:t xml:space="preserve">EC </w:t>
      </w:r>
      <w:r w:rsidRPr="00387653">
        <w:rPr>
          <w:rFonts w:cstheme="minorHAnsi"/>
        </w:rPr>
        <w:t xml:space="preserve">Transition </w:t>
      </w:r>
      <w:r>
        <w:rPr>
          <w:rFonts w:cstheme="minorHAnsi"/>
        </w:rPr>
        <w:t xml:space="preserve">Steps and Services </w:t>
      </w:r>
    </w:p>
    <w:tbl>
      <w:tblPr>
        <w:tblStyle w:val="TableGrid"/>
        <w:tblW w:w="10350" w:type="dxa"/>
        <w:tblInd w:w="-95" w:type="dxa"/>
        <w:tblLook w:val="04A0" w:firstRow="1" w:lastRow="0" w:firstColumn="1" w:lastColumn="0" w:noHBand="0" w:noVBand="1"/>
      </w:tblPr>
      <w:tblGrid>
        <w:gridCol w:w="2062"/>
        <w:gridCol w:w="2407"/>
        <w:gridCol w:w="1279"/>
        <w:gridCol w:w="572"/>
        <w:gridCol w:w="835"/>
        <w:gridCol w:w="835"/>
        <w:gridCol w:w="841"/>
        <w:gridCol w:w="688"/>
        <w:gridCol w:w="831"/>
      </w:tblGrid>
      <w:tr w:rsidR="004077F6" w14:paraId="20110346" w14:textId="77777777" w:rsidTr="009A3850">
        <w:tc>
          <w:tcPr>
            <w:tcW w:w="2062" w:type="dxa"/>
            <w:vAlign w:val="center"/>
          </w:tcPr>
          <w:p w14:paraId="585C8E1C" w14:textId="77777777" w:rsidR="004077F6" w:rsidRPr="006B2629" w:rsidRDefault="004077F6" w:rsidP="009A3850">
            <w:pPr>
              <w:pStyle w:val="NoSpacing"/>
              <w:jc w:val="center"/>
              <w:rPr>
                <w:rFonts w:cstheme="minorHAnsi"/>
                <w:sz w:val="18"/>
                <w:szCs w:val="18"/>
              </w:rPr>
            </w:pPr>
            <w:r w:rsidRPr="005E5B10">
              <w:rPr>
                <w:rFonts w:cstheme="minorHAnsi"/>
                <w:sz w:val="18"/>
                <w:szCs w:val="18"/>
              </w:rPr>
              <w:t>Number of toddlers with disabilities exiting Part C</w:t>
            </w:r>
          </w:p>
        </w:tc>
        <w:tc>
          <w:tcPr>
            <w:tcW w:w="2407" w:type="dxa"/>
            <w:vAlign w:val="center"/>
          </w:tcPr>
          <w:p w14:paraId="71C4A8C0" w14:textId="77777777" w:rsidR="004077F6" w:rsidRPr="006B2629" w:rsidRDefault="004077F6" w:rsidP="009A3850">
            <w:pPr>
              <w:pStyle w:val="NoSpacing"/>
              <w:jc w:val="center"/>
              <w:rPr>
                <w:rFonts w:cstheme="minorHAnsi"/>
                <w:sz w:val="18"/>
                <w:szCs w:val="18"/>
              </w:rPr>
            </w:pPr>
            <w:r>
              <w:rPr>
                <w:rFonts w:cstheme="minorHAnsi"/>
                <w:sz w:val="18"/>
                <w:szCs w:val="18"/>
              </w:rPr>
              <w:t>#</w:t>
            </w:r>
            <w:r w:rsidRPr="005E5B10">
              <w:rPr>
                <w:rFonts w:cstheme="minorHAnsi"/>
                <w:sz w:val="18"/>
                <w:szCs w:val="18"/>
              </w:rPr>
              <w:t xml:space="preserve"> of children exiting Part C who have an IFSP with transition steps &amp; services</w:t>
            </w:r>
          </w:p>
        </w:tc>
        <w:tc>
          <w:tcPr>
            <w:tcW w:w="1279" w:type="dxa"/>
            <w:vAlign w:val="center"/>
          </w:tcPr>
          <w:p w14:paraId="208AD320" w14:textId="77777777" w:rsidR="004077F6" w:rsidRPr="006B2629" w:rsidRDefault="004077F6" w:rsidP="009A3850">
            <w:pPr>
              <w:pStyle w:val="NoSpacing"/>
              <w:jc w:val="center"/>
              <w:rPr>
                <w:rFonts w:cstheme="minorHAnsi"/>
                <w:sz w:val="18"/>
                <w:szCs w:val="18"/>
              </w:rPr>
            </w:pPr>
            <w:r w:rsidRPr="006B2629">
              <w:rPr>
                <w:rFonts w:cstheme="minorHAnsi"/>
                <w:sz w:val="18"/>
                <w:szCs w:val="18"/>
              </w:rPr>
              <w:t>Exceptional</w:t>
            </w:r>
          </w:p>
          <w:p w14:paraId="08D23265" w14:textId="77777777" w:rsidR="004077F6" w:rsidRPr="006B2629" w:rsidRDefault="004077F6" w:rsidP="009A3850">
            <w:pPr>
              <w:pStyle w:val="NoSpacing"/>
              <w:jc w:val="center"/>
              <w:rPr>
                <w:rFonts w:cstheme="minorHAnsi"/>
                <w:sz w:val="18"/>
                <w:szCs w:val="18"/>
              </w:rPr>
            </w:pPr>
            <w:r w:rsidRPr="006B2629">
              <w:rPr>
                <w:rFonts w:cstheme="minorHAnsi"/>
                <w:sz w:val="18"/>
                <w:szCs w:val="18"/>
              </w:rPr>
              <w:t>Family Circumstances</w:t>
            </w:r>
          </w:p>
        </w:tc>
        <w:tc>
          <w:tcPr>
            <w:tcW w:w="572" w:type="dxa"/>
            <w:vAlign w:val="center"/>
          </w:tcPr>
          <w:p w14:paraId="02E3EFE9" w14:textId="77777777" w:rsidR="004077F6" w:rsidRPr="006B2629" w:rsidRDefault="004077F6" w:rsidP="009A3850">
            <w:pPr>
              <w:pStyle w:val="NoSpacing"/>
              <w:jc w:val="center"/>
              <w:rPr>
                <w:rFonts w:cstheme="minorHAnsi"/>
                <w:sz w:val="18"/>
                <w:szCs w:val="18"/>
              </w:rPr>
            </w:pPr>
            <w:r w:rsidRPr="006B2629">
              <w:rPr>
                <w:rFonts w:cstheme="minorHAnsi"/>
                <w:sz w:val="18"/>
                <w:szCs w:val="18"/>
              </w:rPr>
              <w:t>NOT EFC</w:t>
            </w:r>
          </w:p>
        </w:tc>
        <w:tc>
          <w:tcPr>
            <w:tcW w:w="835" w:type="dxa"/>
            <w:vAlign w:val="center"/>
          </w:tcPr>
          <w:p w14:paraId="7D777F5A" w14:textId="3B2C04F8"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2</w:t>
            </w:r>
            <w:r w:rsidRPr="006B2629">
              <w:rPr>
                <w:rFonts w:cstheme="minorHAnsi"/>
                <w:sz w:val="18"/>
                <w:szCs w:val="18"/>
              </w:rPr>
              <w:t xml:space="preserve"> Data</w:t>
            </w:r>
          </w:p>
        </w:tc>
        <w:tc>
          <w:tcPr>
            <w:tcW w:w="835" w:type="dxa"/>
            <w:vAlign w:val="center"/>
          </w:tcPr>
          <w:p w14:paraId="6C5DAB5D" w14:textId="58FAA160"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3</w:t>
            </w:r>
            <w:r w:rsidRPr="006B2629">
              <w:rPr>
                <w:rFonts w:cstheme="minorHAnsi"/>
                <w:sz w:val="18"/>
                <w:szCs w:val="18"/>
              </w:rPr>
              <w:t xml:space="preserve"> Target</w:t>
            </w:r>
          </w:p>
        </w:tc>
        <w:tc>
          <w:tcPr>
            <w:tcW w:w="841" w:type="dxa"/>
            <w:vAlign w:val="center"/>
          </w:tcPr>
          <w:p w14:paraId="6083EF84" w14:textId="04D0E530"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3</w:t>
            </w:r>
            <w:r w:rsidRPr="006B2629">
              <w:rPr>
                <w:rFonts w:cstheme="minorHAnsi"/>
                <w:sz w:val="18"/>
                <w:szCs w:val="18"/>
              </w:rPr>
              <w:t xml:space="preserve"> Data</w:t>
            </w:r>
          </w:p>
        </w:tc>
        <w:tc>
          <w:tcPr>
            <w:tcW w:w="688" w:type="dxa"/>
            <w:vAlign w:val="center"/>
          </w:tcPr>
          <w:p w14:paraId="408887F9"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Status</w:t>
            </w:r>
          </w:p>
        </w:tc>
        <w:tc>
          <w:tcPr>
            <w:tcW w:w="831" w:type="dxa"/>
            <w:vAlign w:val="center"/>
          </w:tcPr>
          <w:p w14:paraId="50D5404F"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Slippage</w:t>
            </w:r>
          </w:p>
        </w:tc>
      </w:tr>
      <w:tr w:rsidR="004077F6" w14:paraId="57FDDCF9" w14:textId="77777777" w:rsidTr="009A3850">
        <w:trPr>
          <w:trHeight w:val="593"/>
        </w:trPr>
        <w:tc>
          <w:tcPr>
            <w:tcW w:w="2062" w:type="dxa"/>
            <w:vAlign w:val="center"/>
          </w:tcPr>
          <w:p w14:paraId="47B74F79" w14:textId="34F98152" w:rsidR="004077F6" w:rsidRPr="006B2629" w:rsidRDefault="004077F6" w:rsidP="009A3850">
            <w:pPr>
              <w:pStyle w:val="NoSpacing"/>
              <w:jc w:val="center"/>
              <w:rPr>
                <w:rFonts w:cstheme="minorHAnsi"/>
                <w:sz w:val="18"/>
                <w:szCs w:val="18"/>
              </w:rPr>
            </w:pPr>
            <w:r>
              <w:rPr>
                <w:rFonts w:cstheme="minorHAnsi"/>
                <w:sz w:val="18"/>
                <w:szCs w:val="18"/>
              </w:rPr>
              <w:t>167</w:t>
            </w:r>
          </w:p>
        </w:tc>
        <w:tc>
          <w:tcPr>
            <w:tcW w:w="2407" w:type="dxa"/>
            <w:vAlign w:val="center"/>
          </w:tcPr>
          <w:p w14:paraId="5E70B3E4" w14:textId="1F868EC9" w:rsidR="004077F6" w:rsidRPr="006B2629" w:rsidRDefault="004077F6" w:rsidP="009A3850">
            <w:pPr>
              <w:pStyle w:val="NoSpacing"/>
              <w:jc w:val="center"/>
              <w:rPr>
                <w:rFonts w:cstheme="minorHAnsi"/>
                <w:sz w:val="18"/>
                <w:szCs w:val="18"/>
              </w:rPr>
            </w:pPr>
            <w:r>
              <w:rPr>
                <w:rFonts w:cstheme="minorHAnsi"/>
                <w:sz w:val="18"/>
                <w:szCs w:val="18"/>
              </w:rPr>
              <w:t>165</w:t>
            </w:r>
          </w:p>
        </w:tc>
        <w:tc>
          <w:tcPr>
            <w:tcW w:w="1279" w:type="dxa"/>
            <w:vAlign w:val="center"/>
          </w:tcPr>
          <w:p w14:paraId="24B210FD" w14:textId="5E27A3E0" w:rsidR="004077F6" w:rsidRPr="006B2629" w:rsidRDefault="004077F6" w:rsidP="009A3850">
            <w:pPr>
              <w:pStyle w:val="NoSpacing"/>
              <w:jc w:val="center"/>
              <w:rPr>
                <w:rFonts w:cstheme="minorHAnsi"/>
                <w:sz w:val="18"/>
                <w:szCs w:val="18"/>
              </w:rPr>
            </w:pPr>
            <w:r>
              <w:rPr>
                <w:rFonts w:cstheme="minorHAnsi"/>
                <w:sz w:val="18"/>
                <w:szCs w:val="18"/>
              </w:rPr>
              <w:t>2</w:t>
            </w:r>
          </w:p>
        </w:tc>
        <w:tc>
          <w:tcPr>
            <w:tcW w:w="572" w:type="dxa"/>
            <w:vAlign w:val="center"/>
          </w:tcPr>
          <w:p w14:paraId="5E42879C" w14:textId="305A7AD6" w:rsidR="004077F6" w:rsidRPr="006B2629" w:rsidRDefault="004077F6" w:rsidP="009A3850">
            <w:pPr>
              <w:pStyle w:val="NoSpacing"/>
              <w:jc w:val="center"/>
              <w:rPr>
                <w:rFonts w:cstheme="minorHAnsi"/>
                <w:sz w:val="18"/>
                <w:szCs w:val="18"/>
              </w:rPr>
            </w:pPr>
            <w:r>
              <w:rPr>
                <w:rFonts w:cstheme="minorHAnsi"/>
                <w:sz w:val="18"/>
                <w:szCs w:val="18"/>
              </w:rPr>
              <w:t>0</w:t>
            </w:r>
          </w:p>
        </w:tc>
        <w:tc>
          <w:tcPr>
            <w:tcW w:w="835" w:type="dxa"/>
            <w:vAlign w:val="center"/>
          </w:tcPr>
          <w:p w14:paraId="39595360" w14:textId="11F32767" w:rsidR="004077F6" w:rsidRPr="006B2629" w:rsidRDefault="004077F6" w:rsidP="009A3850">
            <w:pPr>
              <w:pStyle w:val="NoSpacing"/>
              <w:jc w:val="center"/>
              <w:rPr>
                <w:rFonts w:cstheme="minorHAnsi"/>
                <w:sz w:val="18"/>
                <w:szCs w:val="18"/>
              </w:rPr>
            </w:pPr>
            <w:r>
              <w:rPr>
                <w:rFonts w:cstheme="minorHAnsi"/>
                <w:sz w:val="18"/>
                <w:szCs w:val="18"/>
              </w:rPr>
              <w:t>100%</w:t>
            </w:r>
          </w:p>
        </w:tc>
        <w:tc>
          <w:tcPr>
            <w:tcW w:w="835" w:type="dxa"/>
            <w:vAlign w:val="center"/>
          </w:tcPr>
          <w:p w14:paraId="32E04C56"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841" w:type="dxa"/>
            <w:vAlign w:val="center"/>
          </w:tcPr>
          <w:p w14:paraId="61DD5D80"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688" w:type="dxa"/>
            <w:vAlign w:val="center"/>
          </w:tcPr>
          <w:p w14:paraId="0458E4AD" w14:textId="77777777" w:rsidR="004077F6" w:rsidRPr="006B2629" w:rsidRDefault="004077F6" w:rsidP="009A3850">
            <w:pPr>
              <w:pStyle w:val="NoSpacing"/>
              <w:jc w:val="center"/>
              <w:rPr>
                <w:rFonts w:cstheme="minorHAnsi"/>
                <w:sz w:val="18"/>
                <w:szCs w:val="18"/>
              </w:rPr>
            </w:pPr>
            <w:r>
              <w:rPr>
                <w:rFonts w:cstheme="minorHAnsi"/>
                <w:sz w:val="18"/>
                <w:szCs w:val="18"/>
              </w:rPr>
              <w:t>Met Target</w:t>
            </w:r>
          </w:p>
        </w:tc>
        <w:tc>
          <w:tcPr>
            <w:tcW w:w="831" w:type="dxa"/>
            <w:vAlign w:val="center"/>
          </w:tcPr>
          <w:p w14:paraId="614966E9" w14:textId="77777777" w:rsidR="004077F6" w:rsidRPr="006B2629" w:rsidRDefault="004077F6" w:rsidP="009A3850">
            <w:pPr>
              <w:pStyle w:val="NoSpacing"/>
              <w:jc w:val="center"/>
              <w:rPr>
                <w:rFonts w:cstheme="minorHAnsi"/>
                <w:sz w:val="18"/>
                <w:szCs w:val="18"/>
              </w:rPr>
            </w:pPr>
            <w:r>
              <w:rPr>
                <w:rFonts w:cstheme="minorHAnsi"/>
                <w:sz w:val="18"/>
                <w:szCs w:val="18"/>
              </w:rPr>
              <w:t>No Slippage</w:t>
            </w:r>
          </w:p>
        </w:tc>
      </w:tr>
    </w:tbl>
    <w:p w14:paraId="1666BA0E" w14:textId="77777777" w:rsidR="004077F6" w:rsidRDefault="004077F6" w:rsidP="003373EC">
      <w:pPr>
        <w:pStyle w:val="NoSpacing"/>
      </w:pPr>
    </w:p>
    <w:p w14:paraId="517541ED" w14:textId="77777777" w:rsidR="004077F6" w:rsidRDefault="004077F6" w:rsidP="004077F6">
      <w:pPr>
        <w:pStyle w:val="NoSpacing"/>
      </w:pPr>
      <w:r>
        <w:t>Indicator C8B: EC Transition Notification to SEA and LEA</w:t>
      </w:r>
    </w:p>
    <w:tbl>
      <w:tblPr>
        <w:tblStyle w:val="TableGrid"/>
        <w:tblW w:w="10350" w:type="dxa"/>
        <w:tblInd w:w="-95" w:type="dxa"/>
        <w:tblLook w:val="04A0" w:firstRow="1" w:lastRow="0" w:firstColumn="1" w:lastColumn="0" w:noHBand="0" w:noVBand="1"/>
      </w:tblPr>
      <w:tblGrid>
        <w:gridCol w:w="2062"/>
        <w:gridCol w:w="2407"/>
        <w:gridCol w:w="1279"/>
        <w:gridCol w:w="572"/>
        <w:gridCol w:w="835"/>
        <w:gridCol w:w="835"/>
        <w:gridCol w:w="841"/>
        <w:gridCol w:w="688"/>
        <w:gridCol w:w="831"/>
      </w:tblGrid>
      <w:tr w:rsidR="004077F6" w14:paraId="4D4D1E61" w14:textId="77777777" w:rsidTr="009A3850">
        <w:tc>
          <w:tcPr>
            <w:tcW w:w="2062" w:type="dxa"/>
            <w:vAlign w:val="center"/>
          </w:tcPr>
          <w:p w14:paraId="1A6EFE76" w14:textId="77777777" w:rsidR="004077F6" w:rsidRPr="006B2629" w:rsidRDefault="004077F6" w:rsidP="009A3850">
            <w:pPr>
              <w:pStyle w:val="NoSpacing"/>
              <w:jc w:val="center"/>
              <w:rPr>
                <w:rFonts w:cstheme="minorHAnsi"/>
                <w:sz w:val="18"/>
                <w:szCs w:val="18"/>
              </w:rPr>
            </w:pPr>
            <w:r w:rsidRPr="005E5B10">
              <w:rPr>
                <w:rFonts w:cstheme="minorHAnsi"/>
                <w:sz w:val="18"/>
                <w:szCs w:val="18"/>
              </w:rPr>
              <w:t>Number of toddlers with disabilities exiting Part C who were potentially eligible for Part B</w:t>
            </w:r>
          </w:p>
        </w:tc>
        <w:tc>
          <w:tcPr>
            <w:tcW w:w="2407" w:type="dxa"/>
            <w:vAlign w:val="center"/>
          </w:tcPr>
          <w:p w14:paraId="2F24B4C8" w14:textId="77777777" w:rsidR="004077F6" w:rsidRPr="006B2629" w:rsidRDefault="004077F6" w:rsidP="009A3850">
            <w:pPr>
              <w:pStyle w:val="NoSpacing"/>
              <w:jc w:val="center"/>
              <w:rPr>
                <w:rFonts w:cstheme="minorHAnsi"/>
                <w:sz w:val="18"/>
                <w:szCs w:val="18"/>
              </w:rPr>
            </w:pPr>
            <w:r w:rsidRPr="005E5B10">
              <w:rPr>
                <w:rFonts w:cstheme="minorHAnsi"/>
                <w:sz w:val="18"/>
                <w:szCs w:val="18"/>
              </w:rPr>
              <w:t xml:space="preserve"># toddlers exiting Part C notification to SEA &amp; LEA occurred at least 90 days prior to child’s 3rd </w:t>
            </w:r>
            <w:proofErr w:type="spellStart"/>
            <w:r w:rsidRPr="005E5B10">
              <w:rPr>
                <w:rFonts w:cstheme="minorHAnsi"/>
                <w:sz w:val="18"/>
                <w:szCs w:val="18"/>
              </w:rPr>
              <w:t>bday</w:t>
            </w:r>
            <w:proofErr w:type="spellEnd"/>
          </w:p>
        </w:tc>
        <w:tc>
          <w:tcPr>
            <w:tcW w:w="1279" w:type="dxa"/>
            <w:vAlign w:val="center"/>
          </w:tcPr>
          <w:p w14:paraId="2E38342D" w14:textId="77777777" w:rsidR="004077F6" w:rsidRPr="006B2629" w:rsidRDefault="004077F6" w:rsidP="009A3850">
            <w:pPr>
              <w:pStyle w:val="NoSpacing"/>
              <w:jc w:val="center"/>
              <w:rPr>
                <w:rFonts w:cstheme="minorHAnsi"/>
                <w:sz w:val="18"/>
                <w:szCs w:val="18"/>
              </w:rPr>
            </w:pPr>
            <w:r w:rsidRPr="006B2629">
              <w:rPr>
                <w:rFonts w:cstheme="minorHAnsi"/>
                <w:sz w:val="18"/>
                <w:szCs w:val="18"/>
              </w:rPr>
              <w:t>Exceptional</w:t>
            </w:r>
          </w:p>
          <w:p w14:paraId="3D365BD1" w14:textId="77777777" w:rsidR="004077F6" w:rsidRPr="006B2629" w:rsidRDefault="004077F6" w:rsidP="009A3850">
            <w:pPr>
              <w:pStyle w:val="NoSpacing"/>
              <w:jc w:val="center"/>
              <w:rPr>
                <w:rFonts w:cstheme="minorHAnsi"/>
                <w:sz w:val="18"/>
                <w:szCs w:val="18"/>
              </w:rPr>
            </w:pPr>
            <w:r w:rsidRPr="006B2629">
              <w:rPr>
                <w:rFonts w:cstheme="minorHAnsi"/>
                <w:sz w:val="18"/>
                <w:szCs w:val="18"/>
              </w:rPr>
              <w:t>Family Circumstances</w:t>
            </w:r>
          </w:p>
        </w:tc>
        <w:tc>
          <w:tcPr>
            <w:tcW w:w="572" w:type="dxa"/>
            <w:vAlign w:val="center"/>
          </w:tcPr>
          <w:p w14:paraId="696D46FA" w14:textId="77777777" w:rsidR="004077F6" w:rsidRPr="006B2629" w:rsidRDefault="004077F6" w:rsidP="009A3850">
            <w:pPr>
              <w:pStyle w:val="NoSpacing"/>
              <w:jc w:val="center"/>
              <w:rPr>
                <w:rFonts w:cstheme="minorHAnsi"/>
                <w:sz w:val="18"/>
                <w:szCs w:val="18"/>
              </w:rPr>
            </w:pPr>
            <w:r w:rsidRPr="006B2629">
              <w:rPr>
                <w:rFonts w:cstheme="minorHAnsi"/>
                <w:sz w:val="18"/>
                <w:szCs w:val="18"/>
              </w:rPr>
              <w:t>NOT EFC</w:t>
            </w:r>
          </w:p>
        </w:tc>
        <w:tc>
          <w:tcPr>
            <w:tcW w:w="835" w:type="dxa"/>
            <w:vAlign w:val="center"/>
          </w:tcPr>
          <w:p w14:paraId="2048CDCC" w14:textId="599D7408"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2</w:t>
            </w:r>
            <w:r w:rsidRPr="006B2629">
              <w:rPr>
                <w:rFonts w:cstheme="minorHAnsi"/>
                <w:sz w:val="18"/>
                <w:szCs w:val="18"/>
              </w:rPr>
              <w:t xml:space="preserve"> Data</w:t>
            </w:r>
          </w:p>
        </w:tc>
        <w:tc>
          <w:tcPr>
            <w:tcW w:w="835" w:type="dxa"/>
            <w:vAlign w:val="center"/>
          </w:tcPr>
          <w:p w14:paraId="240BD0F2" w14:textId="2BC02787"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3</w:t>
            </w:r>
            <w:r w:rsidRPr="006B2629">
              <w:rPr>
                <w:rFonts w:cstheme="minorHAnsi"/>
                <w:sz w:val="18"/>
                <w:szCs w:val="18"/>
              </w:rPr>
              <w:t xml:space="preserve"> Target</w:t>
            </w:r>
          </w:p>
        </w:tc>
        <w:tc>
          <w:tcPr>
            <w:tcW w:w="841" w:type="dxa"/>
            <w:vAlign w:val="center"/>
          </w:tcPr>
          <w:p w14:paraId="745B927A" w14:textId="2B25BD32" w:rsidR="004077F6" w:rsidRPr="006B2629" w:rsidRDefault="004077F6" w:rsidP="009A3850">
            <w:pPr>
              <w:pStyle w:val="NoSpacing"/>
              <w:jc w:val="center"/>
              <w:rPr>
                <w:rFonts w:cstheme="minorHAnsi"/>
                <w:sz w:val="18"/>
                <w:szCs w:val="18"/>
              </w:rPr>
            </w:pPr>
            <w:r w:rsidRPr="006B2629">
              <w:rPr>
                <w:rFonts w:cstheme="minorHAnsi"/>
                <w:sz w:val="18"/>
                <w:szCs w:val="18"/>
              </w:rPr>
              <w:t>FFY202</w:t>
            </w:r>
            <w:r>
              <w:rPr>
                <w:rFonts w:cstheme="minorHAnsi"/>
                <w:sz w:val="18"/>
                <w:szCs w:val="18"/>
              </w:rPr>
              <w:t>3</w:t>
            </w:r>
            <w:r w:rsidRPr="006B2629">
              <w:rPr>
                <w:rFonts w:cstheme="minorHAnsi"/>
                <w:sz w:val="18"/>
                <w:szCs w:val="18"/>
              </w:rPr>
              <w:t xml:space="preserve"> Data</w:t>
            </w:r>
          </w:p>
        </w:tc>
        <w:tc>
          <w:tcPr>
            <w:tcW w:w="688" w:type="dxa"/>
            <w:vAlign w:val="center"/>
          </w:tcPr>
          <w:p w14:paraId="780F45DB"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Status</w:t>
            </w:r>
          </w:p>
        </w:tc>
        <w:tc>
          <w:tcPr>
            <w:tcW w:w="831" w:type="dxa"/>
            <w:vAlign w:val="center"/>
          </w:tcPr>
          <w:p w14:paraId="7CF7E65B"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Slippage</w:t>
            </w:r>
          </w:p>
        </w:tc>
      </w:tr>
      <w:tr w:rsidR="004077F6" w14:paraId="09274740" w14:textId="77777777" w:rsidTr="009A3850">
        <w:trPr>
          <w:trHeight w:val="548"/>
        </w:trPr>
        <w:tc>
          <w:tcPr>
            <w:tcW w:w="2062" w:type="dxa"/>
            <w:vAlign w:val="center"/>
          </w:tcPr>
          <w:p w14:paraId="229349AE" w14:textId="73C959E8" w:rsidR="004077F6" w:rsidRPr="006B2629" w:rsidRDefault="004077F6" w:rsidP="009A3850">
            <w:pPr>
              <w:pStyle w:val="NoSpacing"/>
              <w:jc w:val="center"/>
              <w:rPr>
                <w:rFonts w:cstheme="minorHAnsi"/>
                <w:sz w:val="18"/>
                <w:szCs w:val="18"/>
              </w:rPr>
            </w:pPr>
            <w:r>
              <w:rPr>
                <w:rFonts w:cstheme="minorHAnsi"/>
                <w:sz w:val="18"/>
                <w:szCs w:val="18"/>
              </w:rPr>
              <w:t>167</w:t>
            </w:r>
          </w:p>
        </w:tc>
        <w:tc>
          <w:tcPr>
            <w:tcW w:w="2407" w:type="dxa"/>
            <w:vAlign w:val="center"/>
          </w:tcPr>
          <w:p w14:paraId="077E54E8" w14:textId="795574A7" w:rsidR="004077F6" w:rsidRPr="006B2629" w:rsidRDefault="004077F6" w:rsidP="009A3850">
            <w:pPr>
              <w:pStyle w:val="NoSpacing"/>
              <w:jc w:val="center"/>
              <w:rPr>
                <w:rFonts w:cstheme="minorHAnsi"/>
                <w:sz w:val="18"/>
                <w:szCs w:val="18"/>
              </w:rPr>
            </w:pPr>
            <w:r>
              <w:rPr>
                <w:rFonts w:cstheme="minorHAnsi"/>
                <w:sz w:val="18"/>
                <w:szCs w:val="18"/>
              </w:rPr>
              <w:t>167</w:t>
            </w:r>
          </w:p>
        </w:tc>
        <w:tc>
          <w:tcPr>
            <w:tcW w:w="1279" w:type="dxa"/>
            <w:vAlign w:val="center"/>
          </w:tcPr>
          <w:p w14:paraId="148C00B5" w14:textId="77777777" w:rsidR="004077F6" w:rsidRPr="006B2629" w:rsidRDefault="004077F6" w:rsidP="009A3850">
            <w:pPr>
              <w:pStyle w:val="NoSpacing"/>
              <w:jc w:val="center"/>
              <w:rPr>
                <w:rFonts w:cstheme="minorHAnsi"/>
                <w:sz w:val="18"/>
                <w:szCs w:val="18"/>
              </w:rPr>
            </w:pPr>
            <w:r>
              <w:rPr>
                <w:rFonts w:cstheme="minorHAnsi"/>
                <w:sz w:val="18"/>
                <w:szCs w:val="18"/>
              </w:rPr>
              <w:t>0</w:t>
            </w:r>
          </w:p>
        </w:tc>
        <w:tc>
          <w:tcPr>
            <w:tcW w:w="572" w:type="dxa"/>
            <w:vAlign w:val="center"/>
          </w:tcPr>
          <w:p w14:paraId="5A03CA9D" w14:textId="77777777" w:rsidR="004077F6" w:rsidRPr="006B2629" w:rsidRDefault="004077F6" w:rsidP="009A3850">
            <w:pPr>
              <w:pStyle w:val="NoSpacing"/>
              <w:jc w:val="center"/>
              <w:rPr>
                <w:rFonts w:cstheme="minorHAnsi"/>
                <w:sz w:val="18"/>
                <w:szCs w:val="18"/>
              </w:rPr>
            </w:pPr>
            <w:r>
              <w:rPr>
                <w:rFonts w:cstheme="minorHAnsi"/>
                <w:sz w:val="18"/>
                <w:szCs w:val="18"/>
              </w:rPr>
              <w:t>0</w:t>
            </w:r>
          </w:p>
        </w:tc>
        <w:tc>
          <w:tcPr>
            <w:tcW w:w="835" w:type="dxa"/>
            <w:vAlign w:val="center"/>
          </w:tcPr>
          <w:p w14:paraId="5E80BEFA"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835" w:type="dxa"/>
            <w:vAlign w:val="center"/>
          </w:tcPr>
          <w:p w14:paraId="0C2B63C6"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841" w:type="dxa"/>
            <w:vAlign w:val="center"/>
          </w:tcPr>
          <w:p w14:paraId="779F6C6E"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688" w:type="dxa"/>
            <w:vAlign w:val="center"/>
          </w:tcPr>
          <w:p w14:paraId="3A0FBF6F" w14:textId="77777777" w:rsidR="004077F6" w:rsidRPr="006B2629" w:rsidRDefault="004077F6" w:rsidP="009A3850">
            <w:pPr>
              <w:pStyle w:val="NoSpacing"/>
              <w:jc w:val="center"/>
              <w:rPr>
                <w:rFonts w:cstheme="minorHAnsi"/>
                <w:sz w:val="18"/>
                <w:szCs w:val="18"/>
              </w:rPr>
            </w:pPr>
            <w:r>
              <w:rPr>
                <w:rFonts w:cstheme="minorHAnsi"/>
                <w:sz w:val="18"/>
                <w:szCs w:val="18"/>
              </w:rPr>
              <w:t>Met Target</w:t>
            </w:r>
          </w:p>
        </w:tc>
        <w:tc>
          <w:tcPr>
            <w:tcW w:w="831" w:type="dxa"/>
            <w:vAlign w:val="center"/>
          </w:tcPr>
          <w:p w14:paraId="092FC864" w14:textId="77777777" w:rsidR="004077F6" w:rsidRPr="006B2629" w:rsidRDefault="004077F6" w:rsidP="009A3850">
            <w:pPr>
              <w:pStyle w:val="NoSpacing"/>
              <w:jc w:val="center"/>
              <w:rPr>
                <w:rFonts w:cstheme="minorHAnsi"/>
                <w:sz w:val="18"/>
                <w:szCs w:val="18"/>
              </w:rPr>
            </w:pPr>
            <w:r>
              <w:rPr>
                <w:rFonts w:cstheme="minorHAnsi"/>
                <w:sz w:val="18"/>
                <w:szCs w:val="18"/>
              </w:rPr>
              <w:t>No Slippage</w:t>
            </w:r>
          </w:p>
        </w:tc>
      </w:tr>
    </w:tbl>
    <w:p w14:paraId="42E50817" w14:textId="77777777" w:rsidR="004077F6" w:rsidRDefault="004077F6" w:rsidP="004077F6">
      <w:pPr>
        <w:pStyle w:val="NoSpacing"/>
      </w:pPr>
    </w:p>
    <w:p w14:paraId="677429C7" w14:textId="77777777" w:rsidR="004077F6" w:rsidRDefault="004077F6" w:rsidP="004077F6">
      <w:pPr>
        <w:pStyle w:val="NoSpacing"/>
      </w:pPr>
      <w:r>
        <w:t>Indicator C8C: EC Transition Conference</w:t>
      </w:r>
    </w:p>
    <w:tbl>
      <w:tblPr>
        <w:tblStyle w:val="TableGrid"/>
        <w:tblW w:w="10350" w:type="dxa"/>
        <w:tblInd w:w="-95" w:type="dxa"/>
        <w:tblLook w:val="04A0" w:firstRow="1" w:lastRow="0" w:firstColumn="1" w:lastColumn="0" w:noHBand="0" w:noVBand="1"/>
      </w:tblPr>
      <w:tblGrid>
        <w:gridCol w:w="2062"/>
        <w:gridCol w:w="2407"/>
        <w:gridCol w:w="1279"/>
        <w:gridCol w:w="572"/>
        <w:gridCol w:w="835"/>
        <w:gridCol w:w="835"/>
        <w:gridCol w:w="841"/>
        <w:gridCol w:w="688"/>
        <w:gridCol w:w="831"/>
      </w:tblGrid>
      <w:tr w:rsidR="004077F6" w14:paraId="4B12D912" w14:textId="77777777" w:rsidTr="009A3850">
        <w:tc>
          <w:tcPr>
            <w:tcW w:w="2062" w:type="dxa"/>
            <w:vAlign w:val="center"/>
          </w:tcPr>
          <w:p w14:paraId="6E73A5CF" w14:textId="77777777" w:rsidR="004077F6" w:rsidRPr="006B2629" w:rsidRDefault="004077F6" w:rsidP="009A3850">
            <w:pPr>
              <w:pStyle w:val="NoSpacing"/>
              <w:jc w:val="center"/>
              <w:rPr>
                <w:rFonts w:cstheme="minorHAnsi"/>
                <w:sz w:val="18"/>
                <w:szCs w:val="18"/>
              </w:rPr>
            </w:pPr>
            <w:bookmarkStart w:id="0" w:name="_Hlk157501492"/>
            <w:r w:rsidRPr="005E5B10">
              <w:rPr>
                <w:rFonts w:cstheme="minorHAnsi"/>
                <w:sz w:val="18"/>
                <w:szCs w:val="18"/>
              </w:rPr>
              <w:lastRenderedPageBreak/>
              <w:t>Number of toddlers with disabilities exiting Part C who were potentially eligible for Part B</w:t>
            </w:r>
          </w:p>
        </w:tc>
        <w:tc>
          <w:tcPr>
            <w:tcW w:w="2407" w:type="dxa"/>
            <w:vAlign w:val="center"/>
          </w:tcPr>
          <w:p w14:paraId="65ACF354" w14:textId="77777777" w:rsidR="004077F6" w:rsidRPr="006B2629" w:rsidRDefault="004077F6" w:rsidP="009A3850">
            <w:pPr>
              <w:pStyle w:val="NoSpacing"/>
              <w:jc w:val="center"/>
              <w:rPr>
                <w:rFonts w:cstheme="minorHAnsi"/>
                <w:sz w:val="18"/>
                <w:szCs w:val="18"/>
              </w:rPr>
            </w:pPr>
            <w:r>
              <w:rPr>
                <w:rFonts w:cstheme="minorHAnsi"/>
                <w:sz w:val="18"/>
                <w:szCs w:val="18"/>
              </w:rPr>
              <w:t>#</w:t>
            </w:r>
            <w:r w:rsidRPr="005E5B10">
              <w:rPr>
                <w:rFonts w:cstheme="minorHAnsi"/>
                <w:sz w:val="18"/>
                <w:szCs w:val="18"/>
              </w:rPr>
              <w:t xml:space="preserve"> of toddlers exiting Part C with transition conference at least 90 days but no more than 9 months prior to third birthday</w:t>
            </w:r>
          </w:p>
        </w:tc>
        <w:tc>
          <w:tcPr>
            <w:tcW w:w="1279" w:type="dxa"/>
            <w:vAlign w:val="center"/>
          </w:tcPr>
          <w:p w14:paraId="36FFC48B" w14:textId="77777777" w:rsidR="004077F6" w:rsidRPr="006B2629" w:rsidRDefault="004077F6" w:rsidP="009A3850">
            <w:pPr>
              <w:pStyle w:val="NoSpacing"/>
              <w:jc w:val="center"/>
              <w:rPr>
                <w:rFonts w:cstheme="minorHAnsi"/>
                <w:sz w:val="18"/>
                <w:szCs w:val="18"/>
              </w:rPr>
            </w:pPr>
            <w:r w:rsidRPr="006B2629">
              <w:rPr>
                <w:rFonts w:cstheme="minorHAnsi"/>
                <w:sz w:val="18"/>
                <w:szCs w:val="18"/>
              </w:rPr>
              <w:t>Exceptional</w:t>
            </w:r>
          </w:p>
          <w:p w14:paraId="0D23D8F9" w14:textId="77777777" w:rsidR="004077F6" w:rsidRPr="006B2629" w:rsidRDefault="004077F6" w:rsidP="009A3850">
            <w:pPr>
              <w:pStyle w:val="NoSpacing"/>
              <w:jc w:val="center"/>
              <w:rPr>
                <w:rFonts w:cstheme="minorHAnsi"/>
                <w:sz w:val="18"/>
                <w:szCs w:val="18"/>
              </w:rPr>
            </w:pPr>
            <w:r w:rsidRPr="006B2629">
              <w:rPr>
                <w:rFonts w:cstheme="minorHAnsi"/>
                <w:sz w:val="18"/>
                <w:szCs w:val="18"/>
              </w:rPr>
              <w:t>Family Circumstances</w:t>
            </w:r>
          </w:p>
        </w:tc>
        <w:tc>
          <w:tcPr>
            <w:tcW w:w="572" w:type="dxa"/>
            <w:vAlign w:val="center"/>
          </w:tcPr>
          <w:p w14:paraId="33477F15" w14:textId="77777777" w:rsidR="004077F6" w:rsidRPr="006B2629" w:rsidRDefault="004077F6" w:rsidP="009A3850">
            <w:pPr>
              <w:pStyle w:val="NoSpacing"/>
              <w:jc w:val="center"/>
              <w:rPr>
                <w:rFonts w:cstheme="minorHAnsi"/>
                <w:sz w:val="18"/>
                <w:szCs w:val="18"/>
              </w:rPr>
            </w:pPr>
            <w:r w:rsidRPr="006B2629">
              <w:rPr>
                <w:rFonts w:cstheme="minorHAnsi"/>
                <w:sz w:val="18"/>
                <w:szCs w:val="18"/>
              </w:rPr>
              <w:t>NOT EFC</w:t>
            </w:r>
          </w:p>
        </w:tc>
        <w:tc>
          <w:tcPr>
            <w:tcW w:w="835" w:type="dxa"/>
            <w:vAlign w:val="center"/>
          </w:tcPr>
          <w:p w14:paraId="58E30C10" w14:textId="017EEFC2" w:rsidR="004077F6" w:rsidRPr="006B2629" w:rsidRDefault="004077F6" w:rsidP="009A3850">
            <w:pPr>
              <w:pStyle w:val="NoSpacing"/>
              <w:jc w:val="center"/>
              <w:rPr>
                <w:rFonts w:cstheme="minorHAnsi"/>
                <w:sz w:val="18"/>
                <w:szCs w:val="18"/>
              </w:rPr>
            </w:pPr>
            <w:r w:rsidRPr="006B2629">
              <w:rPr>
                <w:rFonts w:cstheme="minorHAnsi"/>
                <w:sz w:val="18"/>
                <w:szCs w:val="18"/>
              </w:rPr>
              <w:t>FFY202</w:t>
            </w:r>
            <w:r w:rsidR="00AA2145">
              <w:rPr>
                <w:rFonts w:cstheme="minorHAnsi"/>
                <w:sz w:val="18"/>
                <w:szCs w:val="18"/>
              </w:rPr>
              <w:t>2</w:t>
            </w:r>
            <w:r w:rsidRPr="006B2629">
              <w:rPr>
                <w:rFonts w:cstheme="minorHAnsi"/>
                <w:sz w:val="18"/>
                <w:szCs w:val="18"/>
              </w:rPr>
              <w:t xml:space="preserve"> Data</w:t>
            </w:r>
          </w:p>
        </w:tc>
        <w:tc>
          <w:tcPr>
            <w:tcW w:w="835" w:type="dxa"/>
            <w:vAlign w:val="center"/>
          </w:tcPr>
          <w:p w14:paraId="1952ADF0" w14:textId="5FDE2424" w:rsidR="004077F6" w:rsidRPr="006B2629" w:rsidRDefault="004077F6" w:rsidP="009A3850">
            <w:pPr>
              <w:pStyle w:val="NoSpacing"/>
              <w:jc w:val="center"/>
              <w:rPr>
                <w:rFonts w:cstheme="minorHAnsi"/>
                <w:sz w:val="18"/>
                <w:szCs w:val="18"/>
              </w:rPr>
            </w:pPr>
            <w:r w:rsidRPr="006B2629">
              <w:rPr>
                <w:rFonts w:cstheme="minorHAnsi"/>
                <w:sz w:val="18"/>
                <w:szCs w:val="18"/>
              </w:rPr>
              <w:t>FFY202</w:t>
            </w:r>
            <w:r w:rsidR="00AA2145">
              <w:rPr>
                <w:rFonts w:cstheme="minorHAnsi"/>
                <w:sz w:val="18"/>
                <w:szCs w:val="18"/>
              </w:rPr>
              <w:t>3</w:t>
            </w:r>
            <w:r w:rsidRPr="006B2629">
              <w:rPr>
                <w:rFonts w:cstheme="minorHAnsi"/>
                <w:sz w:val="18"/>
                <w:szCs w:val="18"/>
              </w:rPr>
              <w:t xml:space="preserve"> Target</w:t>
            </w:r>
          </w:p>
        </w:tc>
        <w:tc>
          <w:tcPr>
            <w:tcW w:w="841" w:type="dxa"/>
            <w:vAlign w:val="center"/>
          </w:tcPr>
          <w:p w14:paraId="13E787CA" w14:textId="4A9DB50A" w:rsidR="004077F6" w:rsidRPr="006B2629" w:rsidRDefault="004077F6" w:rsidP="009A3850">
            <w:pPr>
              <w:pStyle w:val="NoSpacing"/>
              <w:jc w:val="center"/>
              <w:rPr>
                <w:rFonts w:cstheme="minorHAnsi"/>
                <w:sz w:val="18"/>
                <w:szCs w:val="18"/>
              </w:rPr>
            </w:pPr>
            <w:r w:rsidRPr="006B2629">
              <w:rPr>
                <w:rFonts w:cstheme="minorHAnsi"/>
                <w:sz w:val="18"/>
                <w:szCs w:val="18"/>
              </w:rPr>
              <w:t>FFY202</w:t>
            </w:r>
            <w:r w:rsidR="00AA2145">
              <w:rPr>
                <w:rFonts w:cstheme="minorHAnsi"/>
                <w:sz w:val="18"/>
                <w:szCs w:val="18"/>
              </w:rPr>
              <w:t>3</w:t>
            </w:r>
            <w:r w:rsidRPr="006B2629">
              <w:rPr>
                <w:rFonts w:cstheme="minorHAnsi"/>
                <w:sz w:val="18"/>
                <w:szCs w:val="18"/>
              </w:rPr>
              <w:t xml:space="preserve"> Data</w:t>
            </w:r>
          </w:p>
        </w:tc>
        <w:tc>
          <w:tcPr>
            <w:tcW w:w="688" w:type="dxa"/>
            <w:vAlign w:val="center"/>
          </w:tcPr>
          <w:p w14:paraId="3450FB51"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Status</w:t>
            </w:r>
          </w:p>
        </w:tc>
        <w:tc>
          <w:tcPr>
            <w:tcW w:w="831" w:type="dxa"/>
            <w:vAlign w:val="center"/>
          </w:tcPr>
          <w:p w14:paraId="21C62F57" w14:textId="77777777" w:rsidR="004077F6" w:rsidRPr="006B2629" w:rsidRDefault="004077F6" w:rsidP="009A3850">
            <w:pPr>
              <w:pStyle w:val="NoSpacing"/>
              <w:jc w:val="center"/>
              <w:rPr>
                <w:rFonts w:cstheme="minorHAnsi"/>
                <w:sz w:val="18"/>
                <w:szCs w:val="18"/>
              </w:rPr>
            </w:pPr>
            <w:r w:rsidRPr="006B2629">
              <w:rPr>
                <w:rFonts w:cstheme="minorHAnsi"/>
                <w:sz w:val="18"/>
                <w:szCs w:val="18"/>
              </w:rPr>
              <w:t>Slippage</w:t>
            </w:r>
          </w:p>
        </w:tc>
      </w:tr>
      <w:bookmarkEnd w:id="0"/>
      <w:tr w:rsidR="004077F6" w14:paraId="72684B2F" w14:textId="77777777" w:rsidTr="009A3850">
        <w:trPr>
          <w:trHeight w:val="575"/>
        </w:trPr>
        <w:tc>
          <w:tcPr>
            <w:tcW w:w="2062" w:type="dxa"/>
            <w:vAlign w:val="center"/>
          </w:tcPr>
          <w:p w14:paraId="2D1E77C8" w14:textId="0FA335EC" w:rsidR="004077F6" w:rsidRPr="006B2629" w:rsidRDefault="00AA2145" w:rsidP="009A3850">
            <w:pPr>
              <w:pStyle w:val="NoSpacing"/>
              <w:jc w:val="center"/>
              <w:rPr>
                <w:rFonts w:cstheme="minorHAnsi"/>
                <w:sz w:val="18"/>
                <w:szCs w:val="18"/>
              </w:rPr>
            </w:pPr>
            <w:r>
              <w:rPr>
                <w:rFonts w:cstheme="minorHAnsi"/>
                <w:sz w:val="18"/>
                <w:szCs w:val="18"/>
              </w:rPr>
              <w:t>167</w:t>
            </w:r>
          </w:p>
        </w:tc>
        <w:tc>
          <w:tcPr>
            <w:tcW w:w="2407" w:type="dxa"/>
            <w:vAlign w:val="center"/>
          </w:tcPr>
          <w:p w14:paraId="04E6113F" w14:textId="5C831970" w:rsidR="004077F6" w:rsidRPr="006B2629" w:rsidRDefault="00AA2145" w:rsidP="009A3850">
            <w:pPr>
              <w:pStyle w:val="NoSpacing"/>
              <w:jc w:val="center"/>
              <w:rPr>
                <w:rFonts w:cstheme="minorHAnsi"/>
                <w:sz w:val="18"/>
                <w:szCs w:val="18"/>
              </w:rPr>
            </w:pPr>
            <w:r>
              <w:rPr>
                <w:rFonts w:cstheme="minorHAnsi"/>
                <w:sz w:val="18"/>
                <w:szCs w:val="18"/>
              </w:rPr>
              <w:t>165</w:t>
            </w:r>
          </w:p>
        </w:tc>
        <w:tc>
          <w:tcPr>
            <w:tcW w:w="1279" w:type="dxa"/>
            <w:vAlign w:val="center"/>
          </w:tcPr>
          <w:p w14:paraId="09304C59" w14:textId="72F1F28F" w:rsidR="004077F6" w:rsidRPr="006B2629" w:rsidRDefault="00AA2145" w:rsidP="009A3850">
            <w:pPr>
              <w:pStyle w:val="NoSpacing"/>
              <w:jc w:val="center"/>
              <w:rPr>
                <w:rFonts w:cstheme="minorHAnsi"/>
                <w:sz w:val="18"/>
                <w:szCs w:val="18"/>
              </w:rPr>
            </w:pPr>
            <w:r>
              <w:rPr>
                <w:rFonts w:cstheme="minorHAnsi"/>
                <w:sz w:val="18"/>
                <w:szCs w:val="18"/>
              </w:rPr>
              <w:t>2</w:t>
            </w:r>
          </w:p>
        </w:tc>
        <w:tc>
          <w:tcPr>
            <w:tcW w:w="572" w:type="dxa"/>
            <w:vAlign w:val="center"/>
          </w:tcPr>
          <w:p w14:paraId="1CED9720" w14:textId="77777777" w:rsidR="004077F6" w:rsidRPr="006B2629" w:rsidRDefault="004077F6" w:rsidP="009A3850">
            <w:pPr>
              <w:pStyle w:val="NoSpacing"/>
              <w:jc w:val="center"/>
              <w:rPr>
                <w:rFonts w:cstheme="minorHAnsi"/>
                <w:sz w:val="18"/>
                <w:szCs w:val="18"/>
              </w:rPr>
            </w:pPr>
            <w:r>
              <w:rPr>
                <w:rFonts w:cstheme="minorHAnsi"/>
                <w:sz w:val="18"/>
                <w:szCs w:val="18"/>
              </w:rPr>
              <w:t>0</w:t>
            </w:r>
          </w:p>
        </w:tc>
        <w:tc>
          <w:tcPr>
            <w:tcW w:w="835" w:type="dxa"/>
            <w:vAlign w:val="center"/>
          </w:tcPr>
          <w:p w14:paraId="61CB6138" w14:textId="6F56D8C8" w:rsidR="004077F6" w:rsidRPr="006B2629" w:rsidRDefault="00AA2145" w:rsidP="009A3850">
            <w:pPr>
              <w:pStyle w:val="NoSpacing"/>
              <w:jc w:val="center"/>
              <w:rPr>
                <w:rFonts w:cstheme="minorHAnsi"/>
                <w:sz w:val="18"/>
                <w:szCs w:val="18"/>
              </w:rPr>
            </w:pPr>
            <w:r>
              <w:rPr>
                <w:rFonts w:cstheme="minorHAnsi"/>
                <w:sz w:val="18"/>
                <w:szCs w:val="18"/>
              </w:rPr>
              <w:t>100%</w:t>
            </w:r>
          </w:p>
        </w:tc>
        <w:tc>
          <w:tcPr>
            <w:tcW w:w="835" w:type="dxa"/>
            <w:vAlign w:val="center"/>
          </w:tcPr>
          <w:p w14:paraId="525D7CD5"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841" w:type="dxa"/>
            <w:vAlign w:val="center"/>
          </w:tcPr>
          <w:p w14:paraId="678AC8E6" w14:textId="77777777" w:rsidR="004077F6" w:rsidRPr="006B2629" w:rsidRDefault="004077F6" w:rsidP="009A3850">
            <w:pPr>
              <w:pStyle w:val="NoSpacing"/>
              <w:jc w:val="center"/>
              <w:rPr>
                <w:rFonts w:cstheme="minorHAnsi"/>
                <w:sz w:val="18"/>
                <w:szCs w:val="18"/>
              </w:rPr>
            </w:pPr>
            <w:r>
              <w:rPr>
                <w:rFonts w:cstheme="minorHAnsi"/>
                <w:sz w:val="18"/>
                <w:szCs w:val="18"/>
              </w:rPr>
              <w:t>100%</w:t>
            </w:r>
          </w:p>
        </w:tc>
        <w:tc>
          <w:tcPr>
            <w:tcW w:w="688" w:type="dxa"/>
            <w:vAlign w:val="center"/>
          </w:tcPr>
          <w:p w14:paraId="524A115F" w14:textId="77777777" w:rsidR="004077F6" w:rsidRPr="006B2629" w:rsidRDefault="004077F6" w:rsidP="009A3850">
            <w:pPr>
              <w:pStyle w:val="NoSpacing"/>
              <w:jc w:val="center"/>
              <w:rPr>
                <w:rFonts w:cstheme="minorHAnsi"/>
                <w:sz w:val="18"/>
                <w:szCs w:val="18"/>
              </w:rPr>
            </w:pPr>
            <w:r>
              <w:rPr>
                <w:rFonts w:cstheme="minorHAnsi"/>
                <w:sz w:val="18"/>
                <w:szCs w:val="18"/>
              </w:rPr>
              <w:t>Met Target</w:t>
            </w:r>
          </w:p>
        </w:tc>
        <w:tc>
          <w:tcPr>
            <w:tcW w:w="831" w:type="dxa"/>
            <w:vAlign w:val="center"/>
          </w:tcPr>
          <w:p w14:paraId="7E893FFA" w14:textId="77777777" w:rsidR="004077F6" w:rsidRPr="006B2629" w:rsidRDefault="004077F6" w:rsidP="009A3850">
            <w:pPr>
              <w:pStyle w:val="NoSpacing"/>
              <w:jc w:val="center"/>
              <w:rPr>
                <w:rFonts w:cstheme="minorHAnsi"/>
                <w:sz w:val="18"/>
                <w:szCs w:val="18"/>
              </w:rPr>
            </w:pPr>
            <w:r>
              <w:rPr>
                <w:rFonts w:cstheme="minorHAnsi"/>
                <w:sz w:val="18"/>
                <w:szCs w:val="18"/>
              </w:rPr>
              <w:t>No Slippage</w:t>
            </w:r>
          </w:p>
        </w:tc>
      </w:tr>
    </w:tbl>
    <w:p w14:paraId="3EAB6CAF" w14:textId="7424EF82" w:rsidR="004077F6" w:rsidRDefault="00AA2145" w:rsidP="003373EC">
      <w:pPr>
        <w:pStyle w:val="NoSpacing"/>
        <w:rPr>
          <w:rFonts w:cstheme="minorHAnsi"/>
        </w:rPr>
      </w:pPr>
      <w:r>
        <w:rPr>
          <w:rFonts w:cstheme="minorHAnsi"/>
        </w:rPr>
        <w:t>R</w:t>
      </w:r>
      <w:r w:rsidRPr="00387653">
        <w:rPr>
          <w:rFonts w:cstheme="minorHAnsi"/>
        </w:rPr>
        <w:t>esults indicators</w:t>
      </w:r>
      <w:r>
        <w:rPr>
          <w:rFonts w:cstheme="minorHAnsi"/>
        </w:rPr>
        <w:t xml:space="preserve"> C2, C4, C5 and C6 were reviewed.  Targets for results indicators were established by the SICC in November 2021 and were inclusive of the </w:t>
      </w:r>
      <w:r w:rsidRPr="00387653">
        <w:rPr>
          <w:rFonts w:cstheme="minorHAnsi"/>
        </w:rPr>
        <w:t>FFY</w:t>
      </w:r>
      <w:r>
        <w:rPr>
          <w:rFonts w:cstheme="minorHAnsi"/>
        </w:rPr>
        <w:t xml:space="preserve"> </w:t>
      </w:r>
      <w:r w:rsidRPr="00387653">
        <w:rPr>
          <w:rFonts w:cstheme="minorHAnsi"/>
        </w:rPr>
        <w:t xml:space="preserve">2020 </w:t>
      </w:r>
      <w:r>
        <w:rPr>
          <w:rFonts w:cstheme="minorHAnsi"/>
        </w:rPr>
        <w:t>through</w:t>
      </w:r>
      <w:r w:rsidRPr="00387653">
        <w:rPr>
          <w:rFonts w:cstheme="minorHAnsi"/>
        </w:rPr>
        <w:t xml:space="preserve"> FFY</w:t>
      </w:r>
      <w:r>
        <w:rPr>
          <w:rFonts w:cstheme="minorHAnsi"/>
        </w:rPr>
        <w:t xml:space="preserve"> </w:t>
      </w:r>
      <w:r w:rsidRPr="00387653">
        <w:rPr>
          <w:rFonts w:cstheme="minorHAnsi"/>
        </w:rPr>
        <w:t xml:space="preserve">2025 reporting years. </w:t>
      </w:r>
      <w:r>
        <w:rPr>
          <w:rFonts w:cstheme="minorHAnsi"/>
        </w:rPr>
        <w:t xml:space="preserve"> Result indicator data reflects the full FFY 202e reporting year, 7/1/2023 – 6/30/2024. The</w:t>
      </w:r>
      <w:r w:rsidRPr="00387653">
        <w:rPr>
          <w:rFonts w:cstheme="minorHAnsi"/>
        </w:rPr>
        <w:t xml:space="preserve"> state’s performance is as follows</w:t>
      </w:r>
      <w:r>
        <w:rPr>
          <w:rFonts w:cstheme="minorHAnsi"/>
        </w:rPr>
        <w:t xml:space="preserve">. </w:t>
      </w:r>
    </w:p>
    <w:p w14:paraId="0D3FF37D" w14:textId="77777777" w:rsidR="00AA2145" w:rsidRDefault="00AA2145" w:rsidP="003373EC">
      <w:pPr>
        <w:pStyle w:val="NoSpacing"/>
      </w:pPr>
    </w:p>
    <w:p w14:paraId="69932C5D" w14:textId="77777777" w:rsidR="00AA2145" w:rsidRDefault="00AA2145" w:rsidP="00AA2145">
      <w:pPr>
        <w:pStyle w:val="NoSpacing"/>
        <w:rPr>
          <w:rFonts w:cstheme="minorHAnsi"/>
        </w:rPr>
      </w:pPr>
      <w:r>
        <w:rPr>
          <w:rFonts w:cstheme="minorHAnsi"/>
        </w:rPr>
        <w:t>Indicator C2: Services in Natural Environment</w:t>
      </w:r>
    </w:p>
    <w:tbl>
      <w:tblPr>
        <w:tblStyle w:val="TableGrid"/>
        <w:tblW w:w="10350" w:type="dxa"/>
        <w:tblInd w:w="-95" w:type="dxa"/>
        <w:tblLook w:val="04A0" w:firstRow="1" w:lastRow="0" w:firstColumn="1" w:lastColumn="0" w:noHBand="0" w:noVBand="1"/>
      </w:tblPr>
      <w:tblGrid>
        <w:gridCol w:w="3870"/>
        <w:gridCol w:w="2405"/>
        <w:gridCol w:w="835"/>
        <w:gridCol w:w="875"/>
        <w:gridCol w:w="835"/>
        <w:gridCol w:w="692"/>
        <w:gridCol w:w="838"/>
      </w:tblGrid>
      <w:tr w:rsidR="00AA2145" w14:paraId="029259BA" w14:textId="77777777" w:rsidTr="009A3850">
        <w:tc>
          <w:tcPr>
            <w:tcW w:w="3870" w:type="dxa"/>
            <w:vAlign w:val="center"/>
          </w:tcPr>
          <w:p w14:paraId="4E19E59E" w14:textId="77777777" w:rsidR="00AA2145" w:rsidRDefault="00AA2145" w:rsidP="009A3850">
            <w:pPr>
              <w:pStyle w:val="NoSpacing"/>
              <w:jc w:val="center"/>
              <w:rPr>
                <w:rFonts w:cstheme="minorHAnsi"/>
                <w:sz w:val="18"/>
                <w:szCs w:val="18"/>
              </w:rPr>
            </w:pPr>
            <w:r w:rsidRPr="00006831">
              <w:rPr>
                <w:rFonts w:cstheme="minorHAnsi"/>
                <w:sz w:val="18"/>
                <w:szCs w:val="18"/>
              </w:rPr>
              <w:t># infants and toddlers with IFSP who primarily receive EI services in the home or</w:t>
            </w:r>
          </w:p>
          <w:p w14:paraId="528AC593" w14:textId="77777777" w:rsidR="00AA2145" w:rsidRPr="00006831" w:rsidRDefault="00AA2145" w:rsidP="009A3850">
            <w:pPr>
              <w:pStyle w:val="NoSpacing"/>
              <w:jc w:val="center"/>
              <w:rPr>
                <w:rFonts w:cstheme="minorHAnsi"/>
                <w:sz w:val="18"/>
                <w:szCs w:val="18"/>
              </w:rPr>
            </w:pPr>
            <w:r w:rsidRPr="00006831">
              <w:rPr>
                <w:rFonts w:cstheme="minorHAnsi"/>
                <w:sz w:val="18"/>
                <w:szCs w:val="18"/>
              </w:rPr>
              <w:t xml:space="preserve"> community-based setting</w:t>
            </w:r>
          </w:p>
        </w:tc>
        <w:tc>
          <w:tcPr>
            <w:tcW w:w="2405" w:type="dxa"/>
            <w:vAlign w:val="center"/>
          </w:tcPr>
          <w:p w14:paraId="30CA76D0" w14:textId="77777777" w:rsidR="00AA2145" w:rsidRPr="00006831" w:rsidRDefault="00AA2145" w:rsidP="009A3850">
            <w:pPr>
              <w:pStyle w:val="NoSpacing"/>
              <w:jc w:val="center"/>
              <w:rPr>
                <w:rFonts w:cstheme="minorHAnsi"/>
                <w:sz w:val="18"/>
                <w:szCs w:val="18"/>
              </w:rPr>
            </w:pPr>
            <w:r w:rsidRPr="00006831">
              <w:rPr>
                <w:rFonts w:cstheme="minorHAnsi"/>
                <w:sz w:val="18"/>
                <w:szCs w:val="18"/>
              </w:rPr>
              <w:t>Total number of infants and toddlers with IFSPs</w:t>
            </w:r>
          </w:p>
        </w:tc>
        <w:tc>
          <w:tcPr>
            <w:tcW w:w="835" w:type="dxa"/>
            <w:vAlign w:val="center"/>
          </w:tcPr>
          <w:p w14:paraId="623CDE4E" w14:textId="0C1FE4E8"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2</w:t>
            </w:r>
            <w:r w:rsidRPr="00006831">
              <w:rPr>
                <w:rFonts w:cstheme="minorHAnsi"/>
                <w:sz w:val="18"/>
                <w:szCs w:val="18"/>
              </w:rPr>
              <w:t xml:space="preserve"> Data</w:t>
            </w:r>
          </w:p>
        </w:tc>
        <w:tc>
          <w:tcPr>
            <w:tcW w:w="875" w:type="dxa"/>
            <w:vAlign w:val="center"/>
          </w:tcPr>
          <w:p w14:paraId="542940E2" w14:textId="32874DA0"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Target</w:t>
            </w:r>
          </w:p>
        </w:tc>
        <w:tc>
          <w:tcPr>
            <w:tcW w:w="835" w:type="dxa"/>
            <w:vAlign w:val="center"/>
          </w:tcPr>
          <w:p w14:paraId="4DAB032E" w14:textId="702FE5F6"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692" w:type="dxa"/>
            <w:vAlign w:val="center"/>
          </w:tcPr>
          <w:p w14:paraId="34A5D6D3" w14:textId="77777777" w:rsidR="00AA2145" w:rsidRPr="00006831" w:rsidRDefault="00AA2145" w:rsidP="009A3850">
            <w:pPr>
              <w:pStyle w:val="NoSpacing"/>
              <w:jc w:val="center"/>
              <w:rPr>
                <w:rFonts w:cstheme="minorHAnsi"/>
                <w:sz w:val="18"/>
                <w:szCs w:val="18"/>
              </w:rPr>
            </w:pPr>
            <w:r w:rsidRPr="00006831">
              <w:rPr>
                <w:rFonts w:cstheme="minorHAnsi"/>
                <w:sz w:val="18"/>
                <w:szCs w:val="18"/>
              </w:rPr>
              <w:t>Status</w:t>
            </w:r>
          </w:p>
        </w:tc>
        <w:tc>
          <w:tcPr>
            <w:tcW w:w="838" w:type="dxa"/>
            <w:vAlign w:val="center"/>
          </w:tcPr>
          <w:p w14:paraId="592F31B2" w14:textId="77777777" w:rsidR="00AA2145" w:rsidRPr="00006831" w:rsidRDefault="00AA2145" w:rsidP="009A3850">
            <w:pPr>
              <w:pStyle w:val="NoSpacing"/>
              <w:jc w:val="center"/>
              <w:rPr>
                <w:rFonts w:cstheme="minorHAnsi"/>
                <w:sz w:val="18"/>
                <w:szCs w:val="18"/>
              </w:rPr>
            </w:pPr>
            <w:r w:rsidRPr="00006831">
              <w:rPr>
                <w:rFonts w:cstheme="minorHAnsi"/>
                <w:sz w:val="18"/>
                <w:szCs w:val="18"/>
              </w:rPr>
              <w:t>Slippage</w:t>
            </w:r>
          </w:p>
        </w:tc>
      </w:tr>
      <w:tr w:rsidR="00AA2145" w14:paraId="6F646CA8" w14:textId="77777777" w:rsidTr="009A3850">
        <w:trPr>
          <w:trHeight w:val="602"/>
        </w:trPr>
        <w:tc>
          <w:tcPr>
            <w:tcW w:w="3870" w:type="dxa"/>
            <w:vAlign w:val="center"/>
          </w:tcPr>
          <w:p w14:paraId="4388E2CD" w14:textId="130932AF" w:rsidR="00AA2145" w:rsidRPr="00006831" w:rsidRDefault="00AA2145" w:rsidP="009A3850">
            <w:pPr>
              <w:pStyle w:val="NoSpacing"/>
              <w:jc w:val="center"/>
              <w:rPr>
                <w:rFonts w:cstheme="minorHAnsi"/>
                <w:sz w:val="18"/>
                <w:szCs w:val="18"/>
              </w:rPr>
            </w:pPr>
            <w:r>
              <w:rPr>
                <w:rFonts w:cstheme="minorHAnsi"/>
                <w:sz w:val="18"/>
                <w:szCs w:val="18"/>
              </w:rPr>
              <w:t>1232</w:t>
            </w:r>
          </w:p>
        </w:tc>
        <w:tc>
          <w:tcPr>
            <w:tcW w:w="2405" w:type="dxa"/>
            <w:vAlign w:val="center"/>
          </w:tcPr>
          <w:p w14:paraId="7571AF15" w14:textId="04A570BE" w:rsidR="00AA2145" w:rsidRPr="00006831" w:rsidRDefault="00AA2145" w:rsidP="009A3850">
            <w:pPr>
              <w:pStyle w:val="NoSpacing"/>
              <w:jc w:val="center"/>
              <w:rPr>
                <w:rFonts w:cstheme="minorHAnsi"/>
                <w:sz w:val="18"/>
                <w:szCs w:val="18"/>
              </w:rPr>
            </w:pPr>
            <w:r>
              <w:rPr>
                <w:rFonts w:cstheme="minorHAnsi"/>
                <w:sz w:val="18"/>
                <w:szCs w:val="18"/>
              </w:rPr>
              <w:t>1213</w:t>
            </w:r>
          </w:p>
        </w:tc>
        <w:tc>
          <w:tcPr>
            <w:tcW w:w="835" w:type="dxa"/>
            <w:vAlign w:val="center"/>
          </w:tcPr>
          <w:p w14:paraId="2556BCF4" w14:textId="6ADB4438" w:rsidR="00AA2145" w:rsidRPr="00006831" w:rsidRDefault="00AA2145" w:rsidP="009A3850">
            <w:pPr>
              <w:pStyle w:val="NoSpacing"/>
              <w:jc w:val="center"/>
              <w:rPr>
                <w:rFonts w:cstheme="minorHAnsi"/>
                <w:sz w:val="18"/>
                <w:szCs w:val="18"/>
              </w:rPr>
            </w:pPr>
            <w:r>
              <w:rPr>
                <w:rFonts w:cstheme="minorHAnsi"/>
                <w:sz w:val="18"/>
                <w:szCs w:val="18"/>
              </w:rPr>
              <w:t>98.10%</w:t>
            </w:r>
          </w:p>
        </w:tc>
        <w:tc>
          <w:tcPr>
            <w:tcW w:w="875" w:type="dxa"/>
            <w:vAlign w:val="center"/>
          </w:tcPr>
          <w:p w14:paraId="0B9BAE17" w14:textId="30AD043C" w:rsidR="00AA2145" w:rsidRPr="00006831" w:rsidRDefault="00AA2145" w:rsidP="009A3850">
            <w:pPr>
              <w:pStyle w:val="NoSpacing"/>
              <w:jc w:val="center"/>
              <w:rPr>
                <w:rFonts w:cstheme="minorHAnsi"/>
                <w:sz w:val="18"/>
                <w:szCs w:val="18"/>
              </w:rPr>
            </w:pPr>
            <w:r>
              <w:rPr>
                <w:rFonts w:cstheme="minorHAnsi"/>
                <w:sz w:val="18"/>
                <w:szCs w:val="18"/>
              </w:rPr>
              <w:t>97.25%</w:t>
            </w:r>
          </w:p>
        </w:tc>
        <w:tc>
          <w:tcPr>
            <w:tcW w:w="835" w:type="dxa"/>
            <w:vAlign w:val="center"/>
          </w:tcPr>
          <w:p w14:paraId="6E726CD6" w14:textId="05EFBD66" w:rsidR="00AA2145" w:rsidRPr="00006831" w:rsidRDefault="00AA2145" w:rsidP="009A3850">
            <w:pPr>
              <w:pStyle w:val="NoSpacing"/>
              <w:jc w:val="center"/>
              <w:rPr>
                <w:rFonts w:cstheme="minorHAnsi"/>
                <w:sz w:val="18"/>
                <w:szCs w:val="18"/>
              </w:rPr>
            </w:pPr>
            <w:r>
              <w:rPr>
                <w:rFonts w:cstheme="minorHAnsi"/>
                <w:sz w:val="18"/>
                <w:szCs w:val="18"/>
              </w:rPr>
              <w:t>98.46%</w:t>
            </w:r>
          </w:p>
        </w:tc>
        <w:tc>
          <w:tcPr>
            <w:tcW w:w="692" w:type="dxa"/>
            <w:vAlign w:val="center"/>
          </w:tcPr>
          <w:p w14:paraId="36C64EB2" w14:textId="77777777" w:rsidR="00AA2145" w:rsidRPr="00006831" w:rsidRDefault="00AA2145" w:rsidP="009A3850">
            <w:pPr>
              <w:pStyle w:val="NoSpacing"/>
              <w:jc w:val="center"/>
              <w:rPr>
                <w:rFonts w:cstheme="minorHAnsi"/>
                <w:sz w:val="18"/>
                <w:szCs w:val="18"/>
              </w:rPr>
            </w:pPr>
            <w:r w:rsidRPr="00006831">
              <w:rPr>
                <w:rFonts w:cstheme="minorHAnsi"/>
                <w:sz w:val="18"/>
                <w:szCs w:val="18"/>
              </w:rPr>
              <w:t>Met Target</w:t>
            </w:r>
          </w:p>
        </w:tc>
        <w:tc>
          <w:tcPr>
            <w:tcW w:w="838" w:type="dxa"/>
            <w:vAlign w:val="center"/>
          </w:tcPr>
          <w:p w14:paraId="70C5CD5D" w14:textId="77777777" w:rsidR="00AA2145" w:rsidRPr="00006831" w:rsidRDefault="00AA2145" w:rsidP="009A3850">
            <w:pPr>
              <w:pStyle w:val="NoSpacing"/>
              <w:jc w:val="center"/>
              <w:rPr>
                <w:rFonts w:cstheme="minorHAnsi"/>
                <w:sz w:val="18"/>
                <w:szCs w:val="18"/>
              </w:rPr>
            </w:pPr>
            <w:r w:rsidRPr="00006831">
              <w:rPr>
                <w:rFonts w:cstheme="minorHAnsi"/>
                <w:sz w:val="18"/>
                <w:szCs w:val="18"/>
              </w:rPr>
              <w:t>No Slippage</w:t>
            </w:r>
          </w:p>
        </w:tc>
      </w:tr>
    </w:tbl>
    <w:p w14:paraId="4563E1A3" w14:textId="77777777" w:rsidR="00813B93" w:rsidRDefault="00813B93" w:rsidP="003373EC">
      <w:pPr>
        <w:pStyle w:val="NoSpacing"/>
      </w:pPr>
    </w:p>
    <w:p w14:paraId="2F210B4F" w14:textId="77777777" w:rsidR="00AA2145" w:rsidRDefault="00AA2145" w:rsidP="00AA2145">
      <w:pPr>
        <w:pStyle w:val="NoSpacing"/>
      </w:pPr>
      <w:r>
        <w:t>Indicator C5: Child Find (Birth to Age 1)</w:t>
      </w:r>
    </w:p>
    <w:tbl>
      <w:tblPr>
        <w:tblStyle w:val="TableGrid"/>
        <w:tblW w:w="10350" w:type="dxa"/>
        <w:tblInd w:w="-95" w:type="dxa"/>
        <w:tblLook w:val="04A0" w:firstRow="1" w:lastRow="0" w:firstColumn="1" w:lastColumn="0" w:noHBand="0" w:noVBand="1"/>
      </w:tblPr>
      <w:tblGrid>
        <w:gridCol w:w="3870"/>
        <w:gridCol w:w="2405"/>
        <w:gridCol w:w="835"/>
        <w:gridCol w:w="875"/>
        <w:gridCol w:w="835"/>
        <w:gridCol w:w="692"/>
        <w:gridCol w:w="838"/>
      </w:tblGrid>
      <w:tr w:rsidR="00AA2145" w14:paraId="2008B83A" w14:textId="77777777" w:rsidTr="009A3850">
        <w:tc>
          <w:tcPr>
            <w:tcW w:w="3870" w:type="dxa"/>
            <w:vAlign w:val="center"/>
          </w:tcPr>
          <w:p w14:paraId="21BB9192" w14:textId="77777777" w:rsidR="00AA2145" w:rsidRPr="00006831" w:rsidRDefault="00AA2145" w:rsidP="009A3850">
            <w:pPr>
              <w:pStyle w:val="NoSpacing"/>
              <w:jc w:val="center"/>
              <w:rPr>
                <w:rFonts w:cstheme="minorHAnsi"/>
                <w:sz w:val="18"/>
                <w:szCs w:val="18"/>
              </w:rPr>
            </w:pPr>
            <w:r w:rsidRPr="00C46870">
              <w:rPr>
                <w:rFonts w:cstheme="minorHAnsi"/>
                <w:sz w:val="18"/>
                <w:szCs w:val="18"/>
              </w:rPr>
              <w:t xml:space="preserve"># of Infants/Toddlers birth to 1 with IFSPs  </w:t>
            </w:r>
          </w:p>
        </w:tc>
        <w:tc>
          <w:tcPr>
            <w:tcW w:w="2405" w:type="dxa"/>
            <w:vAlign w:val="center"/>
          </w:tcPr>
          <w:p w14:paraId="33CC4689" w14:textId="77777777" w:rsidR="00AA2145" w:rsidRPr="00006831" w:rsidRDefault="00AA2145" w:rsidP="009A3850">
            <w:pPr>
              <w:pStyle w:val="NoSpacing"/>
              <w:jc w:val="center"/>
              <w:rPr>
                <w:rFonts w:cstheme="minorHAnsi"/>
                <w:sz w:val="18"/>
                <w:szCs w:val="18"/>
              </w:rPr>
            </w:pPr>
            <w:r>
              <w:rPr>
                <w:rFonts w:cstheme="minorHAnsi"/>
                <w:sz w:val="18"/>
                <w:szCs w:val="18"/>
              </w:rPr>
              <w:t>SD Population of Infants/Toddlers birth to 1</w:t>
            </w:r>
          </w:p>
        </w:tc>
        <w:tc>
          <w:tcPr>
            <w:tcW w:w="835" w:type="dxa"/>
            <w:vAlign w:val="center"/>
          </w:tcPr>
          <w:p w14:paraId="3EBACDF6" w14:textId="1AD234BC"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 xml:space="preserve">2 </w:t>
            </w:r>
            <w:r w:rsidRPr="00006831">
              <w:rPr>
                <w:rFonts w:cstheme="minorHAnsi"/>
                <w:sz w:val="18"/>
                <w:szCs w:val="18"/>
              </w:rPr>
              <w:t>Data</w:t>
            </w:r>
          </w:p>
        </w:tc>
        <w:tc>
          <w:tcPr>
            <w:tcW w:w="875" w:type="dxa"/>
            <w:vAlign w:val="center"/>
          </w:tcPr>
          <w:p w14:paraId="1F7C2831" w14:textId="1752802C"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Target</w:t>
            </w:r>
          </w:p>
        </w:tc>
        <w:tc>
          <w:tcPr>
            <w:tcW w:w="835" w:type="dxa"/>
            <w:vAlign w:val="center"/>
          </w:tcPr>
          <w:p w14:paraId="791EA0C3" w14:textId="06A03E82"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692" w:type="dxa"/>
            <w:vAlign w:val="center"/>
          </w:tcPr>
          <w:p w14:paraId="270A4530" w14:textId="77777777" w:rsidR="00AA2145" w:rsidRPr="00006831" w:rsidRDefault="00AA2145" w:rsidP="009A3850">
            <w:pPr>
              <w:pStyle w:val="NoSpacing"/>
              <w:jc w:val="center"/>
              <w:rPr>
                <w:rFonts w:cstheme="minorHAnsi"/>
                <w:sz w:val="18"/>
                <w:szCs w:val="18"/>
              </w:rPr>
            </w:pPr>
            <w:r w:rsidRPr="00006831">
              <w:rPr>
                <w:rFonts w:cstheme="minorHAnsi"/>
                <w:sz w:val="18"/>
                <w:szCs w:val="18"/>
              </w:rPr>
              <w:t>Status</w:t>
            </w:r>
          </w:p>
        </w:tc>
        <w:tc>
          <w:tcPr>
            <w:tcW w:w="838" w:type="dxa"/>
            <w:vAlign w:val="center"/>
          </w:tcPr>
          <w:p w14:paraId="500D0F17" w14:textId="77777777" w:rsidR="00AA2145" w:rsidRPr="00006831" w:rsidRDefault="00AA2145" w:rsidP="009A3850">
            <w:pPr>
              <w:pStyle w:val="NoSpacing"/>
              <w:jc w:val="center"/>
              <w:rPr>
                <w:rFonts w:cstheme="minorHAnsi"/>
                <w:sz w:val="18"/>
                <w:szCs w:val="18"/>
              </w:rPr>
            </w:pPr>
            <w:r w:rsidRPr="00006831">
              <w:rPr>
                <w:rFonts w:cstheme="minorHAnsi"/>
                <w:sz w:val="18"/>
                <w:szCs w:val="18"/>
              </w:rPr>
              <w:t>Slippage</w:t>
            </w:r>
          </w:p>
        </w:tc>
      </w:tr>
      <w:tr w:rsidR="00AA2145" w14:paraId="5361B932" w14:textId="77777777" w:rsidTr="009A3850">
        <w:trPr>
          <w:trHeight w:val="602"/>
        </w:trPr>
        <w:tc>
          <w:tcPr>
            <w:tcW w:w="3870" w:type="dxa"/>
            <w:vAlign w:val="center"/>
          </w:tcPr>
          <w:p w14:paraId="09905EDE" w14:textId="6B89AB1B" w:rsidR="00AA2145" w:rsidRPr="00006831" w:rsidRDefault="00AA2145" w:rsidP="009A3850">
            <w:pPr>
              <w:pStyle w:val="NoSpacing"/>
              <w:jc w:val="center"/>
              <w:rPr>
                <w:rFonts w:cstheme="minorHAnsi"/>
                <w:sz w:val="18"/>
                <w:szCs w:val="18"/>
              </w:rPr>
            </w:pPr>
            <w:r>
              <w:rPr>
                <w:rFonts w:cstheme="minorHAnsi"/>
                <w:sz w:val="18"/>
                <w:szCs w:val="18"/>
              </w:rPr>
              <w:t>192</w:t>
            </w:r>
          </w:p>
        </w:tc>
        <w:tc>
          <w:tcPr>
            <w:tcW w:w="2405" w:type="dxa"/>
            <w:vAlign w:val="center"/>
          </w:tcPr>
          <w:p w14:paraId="02941D4E" w14:textId="430C688C" w:rsidR="00AA2145" w:rsidRPr="00006831" w:rsidRDefault="00AA2145" w:rsidP="009A3850">
            <w:pPr>
              <w:pStyle w:val="NoSpacing"/>
              <w:jc w:val="center"/>
              <w:rPr>
                <w:rFonts w:cstheme="minorHAnsi"/>
                <w:sz w:val="18"/>
                <w:szCs w:val="18"/>
              </w:rPr>
            </w:pPr>
            <w:r>
              <w:rPr>
                <w:rFonts w:cstheme="minorHAnsi"/>
                <w:sz w:val="18"/>
                <w:szCs w:val="18"/>
              </w:rPr>
              <w:t>11,434</w:t>
            </w:r>
          </w:p>
        </w:tc>
        <w:tc>
          <w:tcPr>
            <w:tcW w:w="835" w:type="dxa"/>
            <w:vAlign w:val="center"/>
          </w:tcPr>
          <w:p w14:paraId="0734E4B9" w14:textId="044B461F" w:rsidR="00AA2145" w:rsidRPr="00006831" w:rsidRDefault="00AA2145" w:rsidP="009A3850">
            <w:pPr>
              <w:pStyle w:val="NoSpacing"/>
              <w:jc w:val="center"/>
              <w:rPr>
                <w:rFonts w:cstheme="minorHAnsi"/>
                <w:sz w:val="18"/>
                <w:szCs w:val="18"/>
              </w:rPr>
            </w:pPr>
            <w:r>
              <w:rPr>
                <w:rFonts w:cstheme="minorHAnsi"/>
                <w:sz w:val="18"/>
                <w:szCs w:val="18"/>
              </w:rPr>
              <w:t>1.30%</w:t>
            </w:r>
          </w:p>
        </w:tc>
        <w:tc>
          <w:tcPr>
            <w:tcW w:w="875" w:type="dxa"/>
            <w:vAlign w:val="center"/>
          </w:tcPr>
          <w:p w14:paraId="13374735" w14:textId="40D81737" w:rsidR="00AA2145" w:rsidRPr="00006831" w:rsidRDefault="00AA2145" w:rsidP="009A3850">
            <w:pPr>
              <w:pStyle w:val="NoSpacing"/>
              <w:jc w:val="center"/>
              <w:rPr>
                <w:rFonts w:cstheme="minorHAnsi"/>
                <w:sz w:val="18"/>
                <w:szCs w:val="18"/>
              </w:rPr>
            </w:pPr>
            <w:r>
              <w:rPr>
                <w:rFonts w:cstheme="minorHAnsi"/>
                <w:sz w:val="18"/>
                <w:szCs w:val="18"/>
              </w:rPr>
              <w:t>.89%</w:t>
            </w:r>
          </w:p>
        </w:tc>
        <w:tc>
          <w:tcPr>
            <w:tcW w:w="835" w:type="dxa"/>
            <w:vAlign w:val="center"/>
          </w:tcPr>
          <w:p w14:paraId="4AB376FD" w14:textId="11A99938" w:rsidR="00AA2145" w:rsidRPr="00006831" w:rsidRDefault="00AA2145" w:rsidP="009A3850">
            <w:pPr>
              <w:pStyle w:val="NoSpacing"/>
              <w:jc w:val="center"/>
              <w:rPr>
                <w:rFonts w:cstheme="minorHAnsi"/>
                <w:sz w:val="18"/>
                <w:szCs w:val="18"/>
              </w:rPr>
            </w:pPr>
            <w:r>
              <w:rPr>
                <w:rFonts w:cstheme="minorHAnsi"/>
                <w:sz w:val="18"/>
                <w:szCs w:val="18"/>
              </w:rPr>
              <w:t>1.68%</w:t>
            </w:r>
          </w:p>
        </w:tc>
        <w:tc>
          <w:tcPr>
            <w:tcW w:w="692" w:type="dxa"/>
            <w:vAlign w:val="center"/>
          </w:tcPr>
          <w:p w14:paraId="61E8A216" w14:textId="77777777" w:rsidR="00AA2145" w:rsidRPr="00006831" w:rsidRDefault="00AA2145" w:rsidP="009A3850">
            <w:pPr>
              <w:pStyle w:val="NoSpacing"/>
              <w:jc w:val="center"/>
              <w:rPr>
                <w:rFonts w:cstheme="minorHAnsi"/>
                <w:sz w:val="18"/>
                <w:szCs w:val="18"/>
              </w:rPr>
            </w:pPr>
            <w:r w:rsidRPr="00006831">
              <w:rPr>
                <w:rFonts w:cstheme="minorHAnsi"/>
                <w:sz w:val="18"/>
                <w:szCs w:val="18"/>
              </w:rPr>
              <w:t>Met Target</w:t>
            </w:r>
          </w:p>
        </w:tc>
        <w:tc>
          <w:tcPr>
            <w:tcW w:w="838" w:type="dxa"/>
            <w:vAlign w:val="center"/>
          </w:tcPr>
          <w:p w14:paraId="349F03CE" w14:textId="77777777" w:rsidR="00AA2145" w:rsidRPr="00006831" w:rsidRDefault="00AA2145" w:rsidP="009A3850">
            <w:pPr>
              <w:pStyle w:val="NoSpacing"/>
              <w:jc w:val="center"/>
              <w:rPr>
                <w:rFonts w:cstheme="minorHAnsi"/>
                <w:sz w:val="18"/>
                <w:szCs w:val="18"/>
              </w:rPr>
            </w:pPr>
            <w:r w:rsidRPr="00006831">
              <w:rPr>
                <w:rFonts w:cstheme="minorHAnsi"/>
                <w:sz w:val="18"/>
                <w:szCs w:val="18"/>
              </w:rPr>
              <w:t>No Slippage</w:t>
            </w:r>
          </w:p>
        </w:tc>
      </w:tr>
    </w:tbl>
    <w:p w14:paraId="670A9851" w14:textId="77777777" w:rsidR="00AA2145" w:rsidRDefault="00AA2145" w:rsidP="00AA2145">
      <w:pPr>
        <w:pStyle w:val="NoSpacing"/>
      </w:pPr>
    </w:p>
    <w:p w14:paraId="360BFE7B" w14:textId="77777777" w:rsidR="00AA2145" w:rsidRDefault="00AA2145" w:rsidP="00AA2145">
      <w:pPr>
        <w:pStyle w:val="NoSpacing"/>
      </w:pPr>
      <w:r>
        <w:t>Indicator C6: Child Find (Birth to Age 3)</w:t>
      </w:r>
    </w:p>
    <w:tbl>
      <w:tblPr>
        <w:tblStyle w:val="TableGrid"/>
        <w:tblW w:w="10350" w:type="dxa"/>
        <w:tblInd w:w="-95" w:type="dxa"/>
        <w:tblLook w:val="04A0" w:firstRow="1" w:lastRow="0" w:firstColumn="1" w:lastColumn="0" w:noHBand="0" w:noVBand="1"/>
      </w:tblPr>
      <w:tblGrid>
        <w:gridCol w:w="3870"/>
        <w:gridCol w:w="2405"/>
        <w:gridCol w:w="835"/>
        <w:gridCol w:w="875"/>
        <w:gridCol w:w="835"/>
        <w:gridCol w:w="692"/>
        <w:gridCol w:w="838"/>
      </w:tblGrid>
      <w:tr w:rsidR="00AA2145" w14:paraId="50960584" w14:textId="77777777" w:rsidTr="009A3850">
        <w:tc>
          <w:tcPr>
            <w:tcW w:w="3870" w:type="dxa"/>
            <w:vAlign w:val="center"/>
          </w:tcPr>
          <w:p w14:paraId="052E792C" w14:textId="77777777" w:rsidR="00AA2145" w:rsidRPr="00006831" w:rsidRDefault="00AA2145" w:rsidP="009A3850">
            <w:pPr>
              <w:pStyle w:val="NoSpacing"/>
              <w:jc w:val="center"/>
              <w:rPr>
                <w:rFonts w:cstheme="minorHAnsi"/>
                <w:sz w:val="18"/>
                <w:szCs w:val="18"/>
              </w:rPr>
            </w:pPr>
            <w:r w:rsidRPr="00C46870">
              <w:rPr>
                <w:rFonts w:cstheme="minorHAnsi"/>
                <w:sz w:val="18"/>
                <w:szCs w:val="18"/>
              </w:rPr>
              <w:t xml:space="preserve"># of Infants/Toddlers birth to </w:t>
            </w:r>
            <w:r>
              <w:rPr>
                <w:rFonts w:cstheme="minorHAnsi"/>
                <w:sz w:val="18"/>
                <w:szCs w:val="18"/>
              </w:rPr>
              <w:t>3</w:t>
            </w:r>
            <w:r w:rsidRPr="00C46870">
              <w:rPr>
                <w:rFonts w:cstheme="minorHAnsi"/>
                <w:sz w:val="18"/>
                <w:szCs w:val="18"/>
              </w:rPr>
              <w:t xml:space="preserve"> with IFSPs  </w:t>
            </w:r>
          </w:p>
        </w:tc>
        <w:tc>
          <w:tcPr>
            <w:tcW w:w="2405" w:type="dxa"/>
            <w:vAlign w:val="center"/>
          </w:tcPr>
          <w:p w14:paraId="62EB4135" w14:textId="77777777" w:rsidR="00AA2145" w:rsidRPr="00006831" w:rsidRDefault="00AA2145" w:rsidP="009A3850">
            <w:pPr>
              <w:pStyle w:val="NoSpacing"/>
              <w:jc w:val="center"/>
              <w:rPr>
                <w:rFonts w:cstheme="minorHAnsi"/>
                <w:sz w:val="18"/>
                <w:szCs w:val="18"/>
              </w:rPr>
            </w:pPr>
            <w:r>
              <w:rPr>
                <w:rFonts w:cstheme="minorHAnsi"/>
                <w:sz w:val="18"/>
                <w:szCs w:val="18"/>
              </w:rPr>
              <w:t>SD Population of Infants/Toddlers birth to 3</w:t>
            </w:r>
          </w:p>
        </w:tc>
        <w:tc>
          <w:tcPr>
            <w:tcW w:w="835" w:type="dxa"/>
            <w:vAlign w:val="center"/>
          </w:tcPr>
          <w:p w14:paraId="76317F3E" w14:textId="4E0A69B6"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2</w:t>
            </w:r>
            <w:r w:rsidRPr="00006831">
              <w:rPr>
                <w:rFonts w:cstheme="minorHAnsi"/>
                <w:sz w:val="18"/>
                <w:szCs w:val="18"/>
              </w:rPr>
              <w:t xml:space="preserve"> Data</w:t>
            </w:r>
          </w:p>
        </w:tc>
        <w:tc>
          <w:tcPr>
            <w:tcW w:w="875" w:type="dxa"/>
            <w:vAlign w:val="center"/>
          </w:tcPr>
          <w:p w14:paraId="63EB6A6D" w14:textId="3AA895D2"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Target</w:t>
            </w:r>
          </w:p>
        </w:tc>
        <w:tc>
          <w:tcPr>
            <w:tcW w:w="835" w:type="dxa"/>
            <w:vAlign w:val="center"/>
          </w:tcPr>
          <w:p w14:paraId="595ED002" w14:textId="3F67A299"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692" w:type="dxa"/>
            <w:vAlign w:val="center"/>
          </w:tcPr>
          <w:p w14:paraId="255EB299" w14:textId="77777777" w:rsidR="00AA2145" w:rsidRPr="00006831" w:rsidRDefault="00AA2145" w:rsidP="009A3850">
            <w:pPr>
              <w:pStyle w:val="NoSpacing"/>
              <w:jc w:val="center"/>
              <w:rPr>
                <w:rFonts w:cstheme="minorHAnsi"/>
                <w:sz w:val="18"/>
                <w:szCs w:val="18"/>
              </w:rPr>
            </w:pPr>
            <w:r w:rsidRPr="00006831">
              <w:rPr>
                <w:rFonts w:cstheme="minorHAnsi"/>
                <w:sz w:val="18"/>
                <w:szCs w:val="18"/>
              </w:rPr>
              <w:t>Status</w:t>
            </w:r>
          </w:p>
        </w:tc>
        <w:tc>
          <w:tcPr>
            <w:tcW w:w="838" w:type="dxa"/>
            <w:vAlign w:val="center"/>
          </w:tcPr>
          <w:p w14:paraId="3CF65134" w14:textId="77777777" w:rsidR="00AA2145" w:rsidRPr="00006831" w:rsidRDefault="00AA2145" w:rsidP="009A3850">
            <w:pPr>
              <w:pStyle w:val="NoSpacing"/>
              <w:jc w:val="center"/>
              <w:rPr>
                <w:rFonts w:cstheme="minorHAnsi"/>
                <w:sz w:val="18"/>
                <w:szCs w:val="18"/>
              </w:rPr>
            </w:pPr>
            <w:r w:rsidRPr="00006831">
              <w:rPr>
                <w:rFonts w:cstheme="minorHAnsi"/>
                <w:sz w:val="18"/>
                <w:szCs w:val="18"/>
              </w:rPr>
              <w:t>Slippage</w:t>
            </w:r>
          </w:p>
        </w:tc>
      </w:tr>
      <w:tr w:rsidR="00AA2145" w14:paraId="073E61FD" w14:textId="77777777" w:rsidTr="009A3850">
        <w:trPr>
          <w:trHeight w:val="602"/>
        </w:trPr>
        <w:tc>
          <w:tcPr>
            <w:tcW w:w="3870" w:type="dxa"/>
            <w:vAlign w:val="center"/>
          </w:tcPr>
          <w:p w14:paraId="265E79B0" w14:textId="273E97C7" w:rsidR="00AA2145" w:rsidRPr="00006831" w:rsidRDefault="00AA2145" w:rsidP="009A3850">
            <w:pPr>
              <w:pStyle w:val="NoSpacing"/>
              <w:jc w:val="center"/>
              <w:rPr>
                <w:rFonts w:cstheme="minorHAnsi"/>
                <w:sz w:val="18"/>
                <w:szCs w:val="18"/>
              </w:rPr>
            </w:pPr>
            <w:r>
              <w:rPr>
                <w:rFonts w:cstheme="minorHAnsi"/>
                <w:sz w:val="18"/>
                <w:szCs w:val="18"/>
              </w:rPr>
              <w:t>1,232</w:t>
            </w:r>
          </w:p>
        </w:tc>
        <w:tc>
          <w:tcPr>
            <w:tcW w:w="2405" w:type="dxa"/>
            <w:vAlign w:val="center"/>
          </w:tcPr>
          <w:p w14:paraId="116F1B86" w14:textId="16B7EE85" w:rsidR="00AA2145" w:rsidRPr="00006831" w:rsidRDefault="00AA2145" w:rsidP="009A3850">
            <w:pPr>
              <w:pStyle w:val="NoSpacing"/>
              <w:jc w:val="center"/>
              <w:rPr>
                <w:rFonts w:cstheme="minorHAnsi"/>
                <w:sz w:val="18"/>
                <w:szCs w:val="18"/>
              </w:rPr>
            </w:pPr>
            <w:r>
              <w:rPr>
                <w:rFonts w:cstheme="minorHAnsi"/>
                <w:sz w:val="18"/>
                <w:szCs w:val="18"/>
              </w:rPr>
              <w:t>34,152</w:t>
            </w:r>
          </w:p>
        </w:tc>
        <w:tc>
          <w:tcPr>
            <w:tcW w:w="835" w:type="dxa"/>
            <w:vAlign w:val="center"/>
          </w:tcPr>
          <w:p w14:paraId="6E7F9B33" w14:textId="2C4A3D19" w:rsidR="00AA2145" w:rsidRPr="00006831" w:rsidRDefault="00AA2145" w:rsidP="009A3850">
            <w:pPr>
              <w:pStyle w:val="NoSpacing"/>
              <w:jc w:val="center"/>
              <w:rPr>
                <w:rFonts w:cstheme="minorHAnsi"/>
                <w:sz w:val="18"/>
                <w:szCs w:val="18"/>
              </w:rPr>
            </w:pPr>
            <w:r>
              <w:rPr>
                <w:rFonts w:cstheme="minorHAnsi"/>
                <w:sz w:val="18"/>
                <w:szCs w:val="18"/>
              </w:rPr>
              <w:t>3.37%</w:t>
            </w:r>
          </w:p>
        </w:tc>
        <w:tc>
          <w:tcPr>
            <w:tcW w:w="875" w:type="dxa"/>
            <w:vAlign w:val="center"/>
          </w:tcPr>
          <w:p w14:paraId="3071E439" w14:textId="38AD6B83" w:rsidR="00AA2145" w:rsidRPr="00006831" w:rsidRDefault="00AA2145" w:rsidP="009A3850">
            <w:pPr>
              <w:pStyle w:val="NoSpacing"/>
              <w:jc w:val="center"/>
              <w:rPr>
                <w:rFonts w:cstheme="minorHAnsi"/>
                <w:sz w:val="18"/>
                <w:szCs w:val="18"/>
              </w:rPr>
            </w:pPr>
            <w:r>
              <w:rPr>
                <w:rFonts w:cstheme="minorHAnsi"/>
                <w:sz w:val="18"/>
                <w:szCs w:val="18"/>
              </w:rPr>
              <w:t>2.83%</w:t>
            </w:r>
          </w:p>
        </w:tc>
        <w:tc>
          <w:tcPr>
            <w:tcW w:w="835" w:type="dxa"/>
            <w:vAlign w:val="center"/>
          </w:tcPr>
          <w:p w14:paraId="1C4D1961" w14:textId="00D2F633" w:rsidR="00AA2145" w:rsidRPr="00006831" w:rsidRDefault="00AA2145" w:rsidP="009A3850">
            <w:pPr>
              <w:pStyle w:val="NoSpacing"/>
              <w:jc w:val="center"/>
              <w:rPr>
                <w:rFonts w:cstheme="minorHAnsi"/>
                <w:sz w:val="18"/>
                <w:szCs w:val="18"/>
              </w:rPr>
            </w:pPr>
            <w:r>
              <w:rPr>
                <w:rFonts w:cstheme="minorHAnsi"/>
                <w:sz w:val="18"/>
                <w:szCs w:val="18"/>
              </w:rPr>
              <w:t>3.61%</w:t>
            </w:r>
          </w:p>
        </w:tc>
        <w:tc>
          <w:tcPr>
            <w:tcW w:w="692" w:type="dxa"/>
            <w:vAlign w:val="center"/>
          </w:tcPr>
          <w:p w14:paraId="54D35A54" w14:textId="77777777" w:rsidR="00AA2145" w:rsidRPr="00006831" w:rsidRDefault="00AA2145" w:rsidP="009A3850">
            <w:pPr>
              <w:pStyle w:val="NoSpacing"/>
              <w:jc w:val="center"/>
              <w:rPr>
                <w:rFonts w:cstheme="minorHAnsi"/>
                <w:sz w:val="18"/>
                <w:szCs w:val="18"/>
              </w:rPr>
            </w:pPr>
            <w:r>
              <w:rPr>
                <w:rFonts w:cstheme="minorHAnsi"/>
                <w:sz w:val="18"/>
                <w:szCs w:val="18"/>
              </w:rPr>
              <w:t>Met Target</w:t>
            </w:r>
          </w:p>
        </w:tc>
        <w:tc>
          <w:tcPr>
            <w:tcW w:w="838" w:type="dxa"/>
            <w:vAlign w:val="center"/>
          </w:tcPr>
          <w:p w14:paraId="4B3D3C48" w14:textId="77777777" w:rsidR="00AA2145" w:rsidRPr="00006831" w:rsidRDefault="00AA2145" w:rsidP="009A3850">
            <w:pPr>
              <w:pStyle w:val="NoSpacing"/>
              <w:jc w:val="center"/>
              <w:rPr>
                <w:rFonts w:cstheme="minorHAnsi"/>
                <w:sz w:val="18"/>
                <w:szCs w:val="18"/>
              </w:rPr>
            </w:pPr>
            <w:r>
              <w:rPr>
                <w:rFonts w:cstheme="minorHAnsi"/>
                <w:sz w:val="18"/>
                <w:szCs w:val="18"/>
              </w:rPr>
              <w:t>No Slippage</w:t>
            </w:r>
          </w:p>
        </w:tc>
      </w:tr>
    </w:tbl>
    <w:p w14:paraId="173F23AD" w14:textId="77777777" w:rsidR="00813B93" w:rsidRDefault="00813B93" w:rsidP="003373EC">
      <w:pPr>
        <w:pStyle w:val="NoSpacing"/>
      </w:pPr>
    </w:p>
    <w:p w14:paraId="7107637C" w14:textId="77777777" w:rsidR="00AA2145" w:rsidRDefault="00AA2145" w:rsidP="00AA2145">
      <w:pPr>
        <w:pStyle w:val="NoSpacing"/>
      </w:pPr>
      <w:r>
        <w:t xml:space="preserve">Indicator C4: Family Outcomes </w:t>
      </w:r>
    </w:p>
    <w:tbl>
      <w:tblPr>
        <w:tblStyle w:val="TableGrid"/>
        <w:tblW w:w="10350" w:type="dxa"/>
        <w:tblInd w:w="-95" w:type="dxa"/>
        <w:tblLook w:val="04A0" w:firstRow="1" w:lastRow="0" w:firstColumn="1" w:lastColumn="0" w:noHBand="0" w:noVBand="1"/>
      </w:tblPr>
      <w:tblGrid>
        <w:gridCol w:w="5400"/>
        <w:gridCol w:w="1062"/>
        <w:gridCol w:w="835"/>
        <w:gridCol w:w="1253"/>
        <w:gridCol w:w="900"/>
        <w:gridCol w:w="900"/>
      </w:tblGrid>
      <w:tr w:rsidR="00AA2145" w:rsidRPr="00006831" w14:paraId="1977EA50" w14:textId="3F220BBC" w:rsidTr="00AA2145">
        <w:tc>
          <w:tcPr>
            <w:tcW w:w="5400" w:type="dxa"/>
            <w:vAlign w:val="center"/>
          </w:tcPr>
          <w:p w14:paraId="438073AC" w14:textId="77777777" w:rsidR="00AA2145" w:rsidRPr="00006831" w:rsidRDefault="00AA2145" w:rsidP="009A3850">
            <w:pPr>
              <w:pStyle w:val="NoSpacing"/>
              <w:rPr>
                <w:rFonts w:cstheme="minorHAnsi"/>
                <w:sz w:val="18"/>
                <w:szCs w:val="18"/>
              </w:rPr>
            </w:pPr>
            <w:r>
              <w:rPr>
                <w:rFonts w:cstheme="minorHAnsi"/>
                <w:sz w:val="18"/>
                <w:szCs w:val="18"/>
              </w:rPr>
              <w:t>Measure</w:t>
            </w:r>
          </w:p>
        </w:tc>
        <w:tc>
          <w:tcPr>
            <w:tcW w:w="1062" w:type="dxa"/>
            <w:vAlign w:val="center"/>
          </w:tcPr>
          <w:p w14:paraId="31E26F6B" w14:textId="4FA8542D"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2</w:t>
            </w:r>
            <w:r w:rsidRPr="00006831">
              <w:rPr>
                <w:rFonts w:cstheme="minorHAnsi"/>
                <w:sz w:val="18"/>
                <w:szCs w:val="18"/>
              </w:rPr>
              <w:t xml:space="preserve"> Data</w:t>
            </w:r>
          </w:p>
        </w:tc>
        <w:tc>
          <w:tcPr>
            <w:tcW w:w="835" w:type="dxa"/>
            <w:vAlign w:val="center"/>
          </w:tcPr>
          <w:p w14:paraId="56D91EDB" w14:textId="483081E0"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 xml:space="preserve">3 </w:t>
            </w:r>
            <w:r w:rsidRPr="00006831">
              <w:rPr>
                <w:rFonts w:cstheme="minorHAnsi"/>
                <w:sz w:val="18"/>
                <w:szCs w:val="18"/>
              </w:rPr>
              <w:t>Target</w:t>
            </w:r>
          </w:p>
        </w:tc>
        <w:tc>
          <w:tcPr>
            <w:tcW w:w="1253" w:type="dxa"/>
            <w:vAlign w:val="center"/>
          </w:tcPr>
          <w:p w14:paraId="6281A03B" w14:textId="1AA7BD58" w:rsidR="00AA2145" w:rsidRPr="00006831" w:rsidRDefault="00AA2145" w:rsidP="009A3850">
            <w:pPr>
              <w:pStyle w:val="NoSpacing"/>
              <w:jc w:val="center"/>
              <w:rPr>
                <w:rFonts w:cstheme="minorHAnsi"/>
                <w:sz w:val="18"/>
                <w:szCs w:val="18"/>
              </w:rPr>
            </w:pPr>
            <w:r w:rsidRPr="00006831">
              <w:rPr>
                <w:rFonts w:cstheme="minorHAnsi"/>
                <w:sz w:val="18"/>
                <w:szCs w:val="18"/>
              </w:rPr>
              <w:t>FFY202</w:t>
            </w:r>
            <w:r>
              <w:rPr>
                <w:rFonts w:cstheme="minorHAnsi"/>
                <w:sz w:val="18"/>
                <w:szCs w:val="18"/>
              </w:rPr>
              <w:t>3</w:t>
            </w:r>
            <w:r w:rsidRPr="00006831">
              <w:rPr>
                <w:rFonts w:cstheme="minorHAnsi"/>
                <w:sz w:val="18"/>
                <w:szCs w:val="18"/>
              </w:rPr>
              <w:t xml:space="preserve"> Data</w:t>
            </w:r>
          </w:p>
        </w:tc>
        <w:tc>
          <w:tcPr>
            <w:tcW w:w="900" w:type="dxa"/>
            <w:vAlign w:val="center"/>
          </w:tcPr>
          <w:p w14:paraId="21ECEE1F" w14:textId="77777777" w:rsidR="00AA2145" w:rsidRPr="00006831" w:rsidRDefault="00AA2145" w:rsidP="009A3850">
            <w:pPr>
              <w:pStyle w:val="NoSpacing"/>
              <w:jc w:val="center"/>
              <w:rPr>
                <w:rFonts w:cstheme="minorHAnsi"/>
                <w:sz w:val="18"/>
                <w:szCs w:val="18"/>
              </w:rPr>
            </w:pPr>
            <w:r w:rsidRPr="00006831">
              <w:rPr>
                <w:rFonts w:cstheme="minorHAnsi"/>
                <w:sz w:val="18"/>
                <w:szCs w:val="18"/>
              </w:rPr>
              <w:t>Status</w:t>
            </w:r>
          </w:p>
        </w:tc>
        <w:tc>
          <w:tcPr>
            <w:tcW w:w="900" w:type="dxa"/>
            <w:vAlign w:val="center"/>
          </w:tcPr>
          <w:p w14:paraId="1828FBB3" w14:textId="53486F23" w:rsidR="00AA2145" w:rsidRPr="00006831" w:rsidRDefault="00AA2145" w:rsidP="00AA2145">
            <w:pPr>
              <w:pStyle w:val="NoSpacing"/>
              <w:jc w:val="center"/>
              <w:rPr>
                <w:rFonts w:cstheme="minorHAnsi"/>
                <w:sz w:val="18"/>
                <w:szCs w:val="18"/>
              </w:rPr>
            </w:pPr>
            <w:r>
              <w:rPr>
                <w:rFonts w:cstheme="minorHAnsi"/>
                <w:sz w:val="18"/>
                <w:szCs w:val="18"/>
              </w:rPr>
              <w:t>Slippage</w:t>
            </w:r>
          </w:p>
        </w:tc>
      </w:tr>
      <w:tr w:rsidR="00AA2145" w:rsidRPr="00006831" w14:paraId="7287E169" w14:textId="774CB1AE" w:rsidTr="00AA2145">
        <w:trPr>
          <w:trHeight w:val="728"/>
        </w:trPr>
        <w:tc>
          <w:tcPr>
            <w:tcW w:w="5400" w:type="dxa"/>
            <w:vAlign w:val="center"/>
          </w:tcPr>
          <w:p w14:paraId="2864CABE" w14:textId="77777777" w:rsidR="00AA2145" w:rsidRPr="00006831" w:rsidRDefault="00AA2145" w:rsidP="00AA2145">
            <w:pPr>
              <w:pStyle w:val="NoSpacing"/>
              <w:numPr>
                <w:ilvl w:val="0"/>
                <w:numId w:val="2"/>
              </w:numPr>
              <w:rPr>
                <w:rFonts w:cstheme="minorHAnsi"/>
                <w:sz w:val="18"/>
                <w:szCs w:val="18"/>
              </w:rPr>
            </w:pPr>
            <w:r>
              <w:rPr>
                <w:rFonts w:cstheme="minorHAnsi"/>
                <w:sz w:val="18"/>
                <w:szCs w:val="18"/>
              </w:rPr>
              <w:t>A. Percent of families participating in Part C who report that EI services have helped the family know their rights</w:t>
            </w:r>
            <w:r w:rsidRPr="00006831">
              <w:rPr>
                <w:rFonts w:cstheme="minorHAnsi"/>
                <w:sz w:val="18"/>
                <w:szCs w:val="18"/>
              </w:rPr>
              <w:t xml:space="preserve"> </w:t>
            </w:r>
          </w:p>
        </w:tc>
        <w:tc>
          <w:tcPr>
            <w:tcW w:w="1062" w:type="dxa"/>
            <w:vAlign w:val="center"/>
          </w:tcPr>
          <w:p w14:paraId="3DC2A008" w14:textId="53289DD2" w:rsidR="00AA2145" w:rsidRPr="00006831" w:rsidRDefault="00AA2145" w:rsidP="009A3850">
            <w:pPr>
              <w:pStyle w:val="NoSpacing"/>
              <w:jc w:val="center"/>
              <w:rPr>
                <w:rFonts w:cstheme="minorHAnsi"/>
                <w:sz w:val="18"/>
                <w:szCs w:val="18"/>
              </w:rPr>
            </w:pPr>
            <w:r>
              <w:rPr>
                <w:rFonts w:cstheme="minorHAnsi"/>
                <w:sz w:val="18"/>
                <w:szCs w:val="18"/>
              </w:rPr>
              <w:t>85.52%</w:t>
            </w:r>
          </w:p>
        </w:tc>
        <w:tc>
          <w:tcPr>
            <w:tcW w:w="835" w:type="dxa"/>
            <w:vAlign w:val="center"/>
          </w:tcPr>
          <w:p w14:paraId="6E8237E8" w14:textId="02A1EE6A" w:rsidR="00AA2145" w:rsidRPr="00006831" w:rsidRDefault="00AA2145" w:rsidP="009A3850">
            <w:pPr>
              <w:pStyle w:val="NoSpacing"/>
              <w:jc w:val="center"/>
              <w:rPr>
                <w:rFonts w:cstheme="minorHAnsi"/>
                <w:sz w:val="18"/>
                <w:szCs w:val="18"/>
              </w:rPr>
            </w:pPr>
            <w:r>
              <w:rPr>
                <w:rFonts w:cstheme="minorHAnsi"/>
                <w:sz w:val="18"/>
                <w:szCs w:val="18"/>
              </w:rPr>
              <w:t>94.30%</w:t>
            </w:r>
          </w:p>
        </w:tc>
        <w:tc>
          <w:tcPr>
            <w:tcW w:w="1253" w:type="dxa"/>
            <w:vAlign w:val="center"/>
          </w:tcPr>
          <w:p w14:paraId="14A7B9CB" w14:textId="5D30C8D1" w:rsidR="00AA2145" w:rsidRPr="00006831" w:rsidRDefault="00AA2145" w:rsidP="009A3850">
            <w:pPr>
              <w:pStyle w:val="NoSpacing"/>
              <w:jc w:val="center"/>
              <w:rPr>
                <w:rFonts w:cstheme="minorHAnsi"/>
                <w:sz w:val="18"/>
                <w:szCs w:val="18"/>
              </w:rPr>
            </w:pPr>
            <w:r>
              <w:rPr>
                <w:rFonts w:cstheme="minorHAnsi"/>
                <w:sz w:val="18"/>
                <w:szCs w:val="18"/>
              </w:rPr>
              <w:t>85.32%</w:t>
            </w:r>
          </w:p>
        </w:tc>
        <w:tc>
          <w:tcPr>
            <w:tcW w:w="900" w:type="dxa"/>
            <w:vAlign w:val="center"/>
          </w:tcPr>
          <w:p w14:paraId="018F53A0" w14:textId="77777777" w:rsidR="00AA2145" w:rsidRPr="00006831" w:rsidRDefault="00AA2145" w:rsidP="009A3850">
            <w:pPr>
              <w:pStyle w:val="NoSpacing"/>
              <w:jc w:val="center"/>
              <w:rPr>
                <w:rFonts w:cstheme="minorHAnsi"/>
                <w:sz w:val="18"/>
                <w:szCs w:val="18"/>
              </w:rPr>
            </w:pPr>
            <w:r>
              <w:rPr>
                <w:rFonts w:cstheme="minorHAnsi"/>
                <w:sz w:val="18"/>
                <w:szCs w:val="18"/>
              </w:rPr>
              <w:t>Did not meet target</w:t>
            </w:r>
          </w:p>
        </w:tc>
        <w:tc>
          <w:tcPr>
            <w:tcW w:w="900" w:type="dxa"/>
          </w:tcPr>
          <w:p w14:paraId="0E2667F3" w14:textId="77777777" w:rsidR="00AA2145" w:rsidRDefault="00AA2145" w:rsidP="009A3850">
            <w:pPr>
              <w:pStyle w:val="NoSpacing"/>
              <w:jc w:val="center"/>
              <w:rPr>
                <w:rFonts w:cstheme="minorHAnsi"/>
                <w:sz w:val="18"/>
                <w:szCs w:val="18"/>
              </w:rPr>
            </w:pPr>
          </w:p>
          <w:p w14:paraId="54494E21" w14:textId="76B754A3" w:rsidR="00AA2145" w:rsidRDefault="00AA2145" w:rsidP="009A3850">
            <w:pPr>
              <w:pStyle w:val="NoSpacing"/>
              <w:jc w:val="center"/>
              <w:rPr>
                <w:rFonts w:cstheme="minorHAnsi"/>
                <w:sz w:val="18"/>
                <w:szCs w:val="18"/>
              </w:rPr>
            </w:pPr>
            <w:r>
              <w:rPr>
                <w:rFonts w:cstheme="minorHAnsi"/>
                <w:sz w:val="18"/>
                <w:szCs w:val="18"/>
              </w:rPr>
              <w:t>No Slippage</w:t>
            </w:r>
          </w:p>
        </w:tc>
      </w:tr>
      <w:tr w:rsidR="00AA2145" w:rsidRPr="00006831" w14:paraId="1E14ABE5" w14:textId="1B4733D0" w:rsidTr="00AA2145">
        <w:trPr>
          <w:trHeight w:val="800"/>
        </w:trPr>
        <w:tc>
          <w:tcPr>
            <w:tcW w:w="5400" w:type="dxa"/>
            <w:vAlign w:val="center"/>
          </w:tcPr>
          <w:p w14:paraId="61DF7380" w14:textId="77777777" w:rsidR="00AA2145" w:rsidRPr="00006831" w:rsidRDefault="00AA2145" w:rsidP="00AA2145">
            <w:pPr>
              <w:pStyle w:val="NoSpacing"/>
              <w:numPr>
                <w:ilvl w:val="0"/>
                <w:numId w:val="2"/>
              </w:numPr>
              <w:rPr>
                <w:rFonts w:cstheme="minorHAnsi"/>
                <w:sz w:val="18"/>
                <w:szCs w:val="18"/>
              </w:rPr>
            </w:pPr>
            <w:r>
              <w:rPr>
                <w:rFonts w:cstheme="minorHAnsi"/>
                <w:sz w:val="18"/>
                <w:szCs w:val="18"/>
              </w:rPr>
              <w:t>Percent of Families participating in Part C who report that EI services have helped the family effectively communicate their child’s needs</w:t>
            </w:r>
          </w:p>
        </w:tc>
        <w:tc>
          <w:tcPr>
            <w:tcW w:w="1062" w:type="dxa"/>
            <w:vAlign w:val="center"/>
          </w:tcPr>
          <w:p w14:paraId="545EF2B4" w14:textId="1A715777" w:rsidR="00AA2145" w:rsidRPr="00006831" w:rsidRDefault="00AA2145" w:rsidP="009A3850">
            <w:pPr>
              <w:pStyle w:val="NoSpacing"/>
              <w:jc w:val="center"/>
              <w:rPr>
                <w:rFonts w:cstheme="minorHAnsi"/>
                <w:sz w:val="18"/>
                <w:szCs w:val="18"/>
              </w:rPr>
            </w:pPr>
            <w:r>
              <w:rPr>
                <w:rFonts w:cstheme="minorHAnsi"/>
                <w:sz w:val="18"/>
                <w:szCs w:val="18"/>
              </w:rPr>
              <w:t>87.78%</w:t>
            </w:r>
          </w:p>
        </w:tc>
        <w:tc>
          <w:tcPr>
            <w:tcW w:w="835" w:type="dxa"/>
            <w:vAlign w:val="center"/>
          </w:tcPr>
          <w:p w14:paraId="5991D13C" w14:textId="4005719A" w:rsidR="00AA2145" w:rsidRPr="00006831" w:rsidRDefault="00AA2145" w:rsidP="009A3850">
            <w:pPr>
              <w:pStyle w:val="NoSpacing"/>
              <w:jc w:val="center"/>
              <w:rPr>
                <w:rFonts w:cstheme="minorHAnsi"/>
                <w:sz w:val="18"/>
                <w:szCs w:val="18"/>
              </w:rPr>
            </w:pPr>
            <w:r>
              <w:rPr>
                <w:rFonts w:cstheme="minorHAnsi"/>
                <w:sz w:val="18"/>
                <w:szCs w:val="18"/>
              </w:rPr>
              <w:t>90.60%</w:t>
            </w:r>
          </w:p>
        </w:tc>
        <w:tc>
          <w:tcPr>
            <w:tcW w:w="1253" w:type="dxa"/>
            <w:vAlign w:val="center"/>
          </w:tcPr>
          <w:p w14:paraId="4A14CF93" w14:textId="77E8FF86" w:rsidR="00AA2145" w:rsidRPr="00006831" w:rsidRDefault="00AA2145" w:rsidP="009A3850">
            <w:pPr>
              <w:pStyle w:val="NoSpacing"/>
              <w:jc w:val="center"/>
              <w:rPr>
                <w:rFonts w:cstheme="minorHAnsi"/>
                <w:sz w:val="18"/>
                <w:szCs w:val="18"/>
              </w:rPr>
            </w:pPr>
            <w:r>
              <w:rPr>
                <w:rFonts w:cstheme="minorHAnsi"/>
                <w:sz w:val="18"/>
                <w:szCs w:val="18"/>
              </w:rPr>
              <w:t>87.23%</w:t>
            </w:r>
          </w:p>
        </w:tc>
        <w:tc>
          <w:tcPr>
            <w:tcW w:w="900" w:type="dxa"/>
            <w:vAlign w:val="center"/>
          </w:tcPr>
          <w:p w14:paraId="1B6C2002" w14:textId="77777777" w:rsidR="00AA2145" w:rsidRPr="00006831" w:rsidRDefault="00AA2145" w:rsidP="009A3850">
            <w:pPr>
              <w:pStyle w:val="NoSpacing"/>
              <w:jc w:val="center"/>
              <w:rPr>
                <w:rFonts w:cstheme="minorHAnsi"/>
                <w:sz w:val="18"/>
                <w:szCs w:val="18"/>
              </w:rPr>
            </w:pPr>
            <w:r>
              <w:rPr>
                <w:rFonts w:cstheme="minorHAnsi"/>
                <w:sz w:val="18"/>
                <w:szCs w:val="18"/>
              </w:rPr>
              <w:t>Did not meet target</w:t>
            </w:r>
          </w:p>
        </w:tc>
        <w:tc>
          <w:tcPr>
            <w:tcW w:w="900" w:type="dxa"/>
            <w:vAlign w:val="center"/>
          </w:tcPr>
          <w:p w14:paraId="159B74A7" w14:textId="63629B2D" w:rsidR="00AA2145" w:rsidRDefault="00AA2145" w:rsidP="00AA2145">
            <w:pPr>
              <w:pStyle w:val="NoSpacing"/>
              <w:jc w:val="center"/>
              <w:rPr>
                <w:rFonts w:cstheme="minorHAnsi"/>
                <w:sz w:val="18"/>
                <w:szCs w:val="18"/>
              </w:rPr>
            </w:pPr>
            <w:r>
              <w:rPr>
                <w:rFonts w:cstheme="minorHAnsi"/>
                <w:sz w:val="18"/>
                <w:szCs w:val="18"/>
              </w:rPr>
              <w:t>No Slippage</w:t>
            </w:r>
          </w:p>
        </w:tc>
      </w:tr>
      <w:tr w:rsidR="00AA2145" w:rsidRPr="00006831" w14:paraId="09AA056C" w14:textId="07D6E617" w:rsidTr="00AA2145">
        <w:trPr>
          <w:trHeight w:val="800"/>
        </w:trPr>
        <w:tc>
          <w:tcPr>
            <w:tcW w:w="5400" w:type="dxa"/>
            <w:vAlign w:val="center"/>
          </w:tcPr>
          <w:p w14:paraId="1A132864" w14:textId="77777777" w:rsidR="00AA2145" w:rsidRDefault="00AA2145" w:rsidP="00AA2145">
            <w:pPr>
              <w:pStyle w:val="NoSpacing"/>
              <w:numPr>
                <w:ilvl w:val="0"/>
                <w:numId w:val="1"/>
              </w:numPr>
              <w:rPr>
                <w:rFonts w:cstheme="minorHAnsi"/>
                <w:sz w:val="18"/>
                <w:szCs w:val="18"/>
              </w:rPr>
            </w:pPr>
            <w:r>
              <w:rPr>
                <w:rFonts w:cstheme="minorHAnsi"/>
                <w:sz w:val="18"/>
                <w:szCs w:val="18"/>
              </w:rPr>
              <w:t xml:space="preserve">Percent of families participating in Part C who report that EI services have helped the family help their child develop and learn. </w:t>
            </w:r>
          </w:p>
        </w:tc>
        <w:tc>
          <w:tcPr>
            <w:tcW w:w="1062" w:type="dxa"/>
            <w:vAlign w:val="center"/>
          </w:tcPr>
          <w:p w14:paraId="6C0140A5" w14:textId="1316F6DA" w:rsidR="00AA2145" w:rsidRDefault="00AA2145" w:rsidP="009A3850">
            <w:pPr>
              <w:pStyle w:val="NoSpacing"/>
              <w:jc w:val="center"/>
              <w:rPr>
                <w:rFonts w:cstheme="minorHAnsi"/>
                <w:sz w:val="18"/>
                <w:szCs w:val="18"/>
              </w:rPr>
            </w:pPr>
            <w:r>
              <w:rPr>
                <w:rFonts w:cstheme="minorHAnsi"/>
                <w:sz w:val="18"/>
                <w:szCs w:val="18"/>
              </w:rPr>
              <w:t>86.43%</w:t>
            </w:r>
          </w:p>
        </w:tc>
        <w:tc>
          <w:tcPr>
            <w:tcW w:w="835" w:type="dxa"/>
            <w:vAlign w:val="center"/>
          </w:tcPr>
          <w:p w14:paraId="0719DC40" w14:textId="69E6BD02" w:rsidR="00AA2145" w:rsidRDefault="00AA2145" w:rsidP="009A3850">
            <w:pPr>
              <w:pStyle w:val="NoSpacing"/>
              <w:jc w:val="center"/>
              <w:rPr>
                <w:rFonts w:cstheme="minorHAnsi"/>
                <w:sz w:val="18"/>
                <w:szCs w:val="18"/>
              </w:rPr>
            </w:pPr>
            <w:r>
              <w:rPr>
                <w:rFonts w:cstheme="minorHAnsi"/>
                <w:sz w:val="18"/>
                <w:szCs w:val="18"/>
              </w:rPr>
              <w:t>90.30%</w:t>
            </w:r>
          </w:p>
        </w:tc>
        <w:tc>
          <w:tcPr>
            <w:tcW w:w="1253" w:type="dxa"/>
            <w:vAlign w:val="center"/>
          </w:tcPr>
          <w:p w14:paraId="062342B8" w14:textId="0BE8BC31" w:rsidR="00AA2145" w:rsidRDefault="00AA2145" w:rsidP="009A3850">
            <w:pPr>
              <w:pStyle w:val="NoSpacing"/>
              <w:jc w:val="center"/>
              <w:rPr>
                <w:rFonts w:cstheme="minorHAnsi"/>
                <w:sz w:val="18"/>
                <w:szCs w:val="18"/>
              </w:rPr>
            </w:pPr>
            <w:r>
              <w:rPr>
                <w:rFonts w:cstheme="minorHAnsi"/>
                <w:sz w:val="18"/>
                <w:szCs w:val="18"/>
              </w:rPr>
              <w:t>84.89%</w:t>
            </w:r>
          </w:p>
        </w:tc>
        <w:tc>
          <w:tcPr>
            <w:tcW w:w="900" w:type="dxa"/>
            <w:vAlign w:val="center"/>
          </w:tcPr>
          <w:p w14:paraId="11C33A8E" w14:textId="77777777" w:rsidR="00AA2145" w:rsidRDefault="00AA2145" w:rsidP="009A3850">
            <w:pPr>
              <w:pStyle w:val="NoSpacing"/>
              <w:jc w:val="center"/>
              <w:rPr>
                <w:rFonts w:cstheme="minorHAnsi"/>
                <w:sz w:val="18"/>
                <w:szCs w:val="18"/>
              </w:rPr>
            </w:pPr>
            <w:r>
              <w:rPr>
                <w:rFonts w:cstheme="minorHAnsi"/>
                <w:sz w:val="18"/>
                <w:szCs w:val="18"/>
              </w:rPr>
              <w:t>Did not meet target</w:t>
            </w:r>
          </w:p>
        </w:tc>
        <w:tc>
          <w:tcPr>
            <w:tcW w:w="900" w:type="dxa"/>
            <w:vAlign w:val="center"/>
          </w:tcPr>
          <w:p w14:paraId="5A45B567" w14:textId="7D0B4503" w:rsidR="00AA2145" w:rsidRDefault="00AA2145" w:rsidP="00AA2145">
            <w:pPr>
              <w:pStyle w:val="NoSpacing"/>
              <w:jc w:val="center"/>
              <w:rPr>
                <w:rFonts w:cstheme="minorHAnsi"/>
                <w:sz w:val="18"/>
                <w:szCs w:val="18"/>
              </w:rPr>
            </w:pPr>
            <w:r>
              <w:rPr>
                <w:rFonts w:cstheme="minorHAnsi"/>
                <w:sz w:val="18"/>
                <w:szCs w:val="18"/>
              </w:rPr>
              <w:t>Slippage</w:t>
            </w:r>
          </w:p>
        </w:tc>
      </w:tr>
    </w:tbl>
    <w:p w14:paraId="482C7FDA" w14:textId="011103BD" w:rsidR="003626A3" w:rsidRDefault="003626A3" w:rsidP="003373EC">
      <w:pPr>
        <w:pStyle w:val="NoSpacing"/>
      </w:pPr>
    </w:p>
    <w:p w14:paraId="7D6CB409" w14:textId="345B3977" w:rsidR="00AA2145" w:rsidRDefault="00AA2145" w:rsidP="00AA2145">
      <w:pPr>
        <w:pStyle w:val="NoSpacing"/>
      </w:pPr>
      <w:r>
        <w:t xml:space="preserve">Carter informed members data for Indicator C4 is gathered through an electronic survey provided to families when exiting the Birth to Three program.  FFY 2023 marks the third complete year the state has used a different survey tool and method of distribution for this indicator.  The state utilizes the Family Outcome Survey – Revised and distributes the survey electronically to families.  The state notes a dramatic increase in return rate. FFY 2023 return rate was the highest year reported for return rate.  The state had 43.97% of surveys returned, that is 20% increase over the previous year.  Carter when on to </w:t>
      </w:r>
      <w:r>
        <w:lastRenderedPageBreak/>
        <w:t xml:space="preserve">praise the local service coordinators for their dedication to ensure families were receiving the surveys but also sending out reminders to have them returned.  </w:t>
      </w:r>
    </w:p>
    <w:p w14:paraId="4EC9BA54" w14:textId="2BFDFEE9" w:rsidR="00535DF3" w:rsidRDefault="00535DF3" w:rsidP="003373EC">
      <w:pPr>
        <w:pStyle w:val="NoSpacing"/>
      </w:pPr>
    </w:p>
    <w:p w14:paraId="28274C31" w14:textId="68503518" w:rsidR="00B333F1" w:rsidRDefault="00B333F1" w:rsidP="003373EC">
      <w:pPr>
        <w:pStyle w:val="NoSpacing"/>
      </w:pPr>
      <w:r>
        <w:t xml:space="preserve">Carter followed up on two items raised by the ICC last year related to indicator C4.  ICC members had asked 1) if the targets should be adjusted </w:t>
      </w:r>
      <w:r w:rsidR="00555C2B">
        <w:t>given,</w:t>
      </w:r>
      <w:r>
        <w:t xml:space="preserve"> they had not been met </w:t>
      </w:r>
      <w:r w:rsidR="00AF6AD2">
        <w:t>and 2</w:t>
      </w:r>
      <w:r>
        <w:t xml:space="preserve">) if children who had been in the program less </w:t>
      </w:r>
      <w:r w:rsidR="00555C2B">
        <w:t>than</w:t>
      </w:r>
      <w:r>
        <w:t xml:space="preserve"> 6 months impacted the survey results.  Carter’s response was 1) the state did not recommend adjusting the targets.  With only two years remaining in the existing SPP/APR package and given the significant improvement in response rate, the state recommended leaving where at; and 2) the data did not show any statistical difference by removing surveys from families who had been in the program less </w:t>
      </w:r>
      <w:r w:rsidR="00555C2B">
        <w:t>than</w:t>
      </w:r>
      <w:r>
        <w:t xml:space="preserve"> 6 months, as such the state recommended leaving the results from all families in the group. </w:t>
      </w:r>
    </w:p>
    <w:p w14:paraId="5BA6E722" w14:textId="77777777" w:rsidR="00B333F1" w:rsidRDefault="00B333F1" w:rsidP="003373EC">
      <w:pPr>
        <w:pStyle w:val="NoSpacing"/>
      </w:pPr>
    </w:p>
    <w:p w14:paraId="21B9B6DF" w14:textId="1B0C4452" w:rsidR="00B333F1" w:rsidRDefault="00B333F1" w:rsidP="003373EC">
      <w:pPr>
        <w:pStyle w:val="NoSpacing"/>
      </w:pPr>
      <w:r>
        <w:t xml:space="preserve">Several members spoke up and agreed with the state decision to leave targets as is and to include all families.  No motion was needed as all items would stay as is.  </w:t>
      </w:r>
    </w:p>
    <w:p w14:paraId="3A846FEB" w14:textId="77777777" w:rsidR="00B333F1" w:rsidRDefault="00B333F1" w:rsidP="003373EC">
      <w:pPr>
        <w:pStyle w:val="NoSpacing"/>
      </w:pPr>
    </w:p>
    <w:p w14:paraId="28B70981" w14:textId="704C8253" w:rsidR="00B333F1" w:rsidRDefault="00B333F1" w:rsidP="003373EC">
      <w:pPr>
        <w:pStyle w:val="NoSpacing"/>
      </w:pPr>
      <w:r>
        <w:t xml:space="preserve">Carter stated during the January meeting the state would bring forward Indicators C3, C9, C10, C11 and C12 information.  </w:t>
      </w:r>
    </w:p>
    <w:p w14:paraId="3054A674" w14:textId="77777777" w:rsidR="00B333F1" w:rsidRDefault="00B333F1" w:rsidP="003373EC">
      <w:pPr>
        <w:pStyle w:val="NoSpacing"/>
      </w:pPr>
    </w:p>
    <w:p w14:paraId="5FF8B752" w14:textId="4B16881C" w:rsidR="00B333F1" w:rsidRDefault="00B333F1" w:rsidP="003373EC">
      <w:pPr>
        <w:pStyle w:val="NoSpacing"/>
      </w:pPr>
      <w:r>
        <w:t xml:space="preserve">ICC Chair Holloway reminding members of the next meeting on January 22, 2025, from 3:00 – 5:00.  This meeting will be held virtually.  </w:t>
      </w:r>
    </w:p>
    <w:p w14:paraId="3E716D08" w14:textId="77777777" w:rsidR="00B333F1" w:rsidRDefault="00B333F1" w:rsidP="003373EC">
      <w:pPr>
        <w:pStyle w:val="NoSpacing"/>
      </w:pPr>
    </w:p>
    <w:p w14:paraId="41149875" w14:textId="7B09C074" w:rsidR="00A10277" w:rsidRDefault="00B333F1" w:rsidP="00B333F1">
      <w:pPr>
        <w:pStyle w:val="NoSpacing"/>
      </w:pPr>
      <w:r>
        <w:t xml:space="preserve">Wendy Honeycutt moved to adjourn the meeting, </w:t>
      </w:r>
      <w:r w:rsidR="00A10277">
        <w:t xml:space="preserve">second by </w:t>
      </w:r>
      <w:r w:rsidR="00F47EFC">
        <w:t>Carie Green</w:t>
      </w:r>
      <w:r w:rsidR="00C420CB">
        <w:t xml:space="preserve">. All voted </w:t>
      </w:r>
      <w:r w:rsidR="00A11F40">
        <w:t>in favor.  Motion carried.</w:t>
      </w:r>
      <w:r w:rsidR="005347F4">
        <w:t xml:space="preserve"> Meeting adjourned at </w:t>
      </w:r>
      <w:r w:rsidR="00F47EFC">
        <w:t>2:41 PM CST</w:t>
      </w:r>
      <w:r w:rsidR="0030798C">
        <w:t xml:space="preserve">. </w:t>
      </w:r>
    </w:p>
    <w:p w14:paraId="629F3F10" w14:textId="124334A3" w:rsidR="006836FD" w:rsidRDefault="006836FD" w:rsidP="003373EC">
      <w:pPr>
        <w:pStyle w:val="NoSpacing"/>
      </w:pPr>
    </w:p>
    <w:p w14:paraId="3747134D" w14:textId="5ABE0137" w:rsidR="006836FD" w:rsidRDefault="003E6755" w:rsidP="003373EC">
      <w:pPr>
        <w:pStyle w:val="NoSpacing"/>
      </w:pPr>
      <w:r>
        <w:t xml:space="preserve">Next meeting date is scheduled for Wednesday, </w:t>
      </w:r>
      <w:r w:rsidR="00042A88">
        <w:t>J</w:t>
      </w:r>
      <w:r w:rsidR="00B476CF">
        <w:t>anuary 22, 2025</w:t>
      </w:r>
      <w:r w:rsidR="00042A88">
        <w:t>.</w:t>
      </w:r>
    </w:p>
    <w:p w14:paraId="75BF9BB7" w14:textId="4BF7F0BE" w:rsidR="00426621" w:rsidRDefault="00426621" w:rsidP="003373EC">
      <w:pPr>
        <w:pStyle w:val="NoSpacing"/>
      </w:pPr>
      <w:r>
        <w:br/>
      </w:r>
    </w:p>
    <w:p w14:paraId="41FCBA14" w14:textId="77777777" w:rsidR="008D391D" w:rsidRDefault="008D391D" w:rsidP="003373EC">
      <w:pPr>
        <w:pStyle w:val="NoSpacing"/>
      </w:pPr>
    </w:p>
    <w:p w14:paraId="1E94ED12" w14:textId="77777777" w:rsidR="00E95B95" w:rsidRDefault="00E95B95" w:rsidP="003373EC">
      <w:pPr>
        <w:pStyle w:val="NoSpacing"/>
      </w:pPr>
    </w:p>
    <w:p w14:paraId="7C7CFBBC" w14:textId="77777777" w:rsidR="005A2F12" w:rsidRDefault="005A2F12" w:rsidP="003373EC">
      <w:pPr>
        <w:pStyle w:val="NoSpacing"/>
      </w:pPr>
    </w:p>
    <w:p w14:paraId="280829B9" w14:textId="77777777" w:rsidR="00A41126" w:rsidRDefault="00A41126" w:rsidP="003373EC">
      <w:pPr>
        <w:pStyle w:val="NoSpacing"/>
      </w:pPr>
    </w:p>
    <w:p w14:paraId="29A31F9F" w14:textId="60A0CE17" w:rsidR="00A41126" w:rsidRDefault="00A41126" w:rsidP="003373EC">
      <w:pPr>
        <w:pStyle w:val="NoSpacing"/>
      </w:pPr>
    </w:p>
    <w:p w14:paraId="017663BD" w14:textId="77777777" w:rsidR="003373EC" w:rsidRDefault="003373EC" w:rsidP="003373EC">
      <w:pPr>
        <w:pStyle w:val="NoSpacing"/>
      </w:pPr>
    </w:p>
    <w:sectPr w:rsidR="003373EC" w:rsidSect="004077F6">
      <w:headerReference w:type="even" r:id="rId7"/>
      <w:headerReference w:type="default" r:id="rId8"/>
      <w:footerReference w:type="even" r:id="rId9"/>
      <w:footerReference w:type="default" r:id="rId10"/>
      <w:headerReference w:type="first" r:id="rId11"/>
      <w:footerReference w:type="first" r:id="rId12"/>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B817" w14:textId="77777777" w:rsidR="00EE7031" w:rsidRDefault="00EE7031" w:rsidP="004F6AE9">
      <w:pPr>
        <w:spacing w:after="0" w:line="240" w:lineRule="auto"/>
      </w:pPr>
      <w:r>
        <w:separator/>
      </w:r>
    </w:p>
  </w:endnote>
  <w:endnote w:type="continuationSeparator" w:id="0">
    <w:p w14:paraId="1B0B81D8" w14:textId="77777777" w:rsidR="00EE7031" w:rsidRDefault="00EE7031" w:rsidP="004F6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258A" w14:textId="77777777" w:rsidR="004F6AE9" w:rsidRDefault="004F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648C" w14:textId="77777777" w:rsidR="004F6AE9" w:rsidRDefault="004F6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9637" w14:textId="77777777" w:rsidR="004F6AE9" w:rsidRDefault="004F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022F" w14:textId="77777777" w:rsidR="00EE7031" w:rsidRDefault="00EE7031" w:rsidP="004F6AE9">
      <w:pPr>
        <w:spacing w:after="0" w:line="240" w:lineRule="auto"/>
      </w:pPr>
      <w:r>
        <w:separator/>
      </w:r>
    </w:p>
  </w:footnote>
  <w:footnote w:type="continuationSeparator" w:id="0">
    <w:p w14:paraId="1B71946F" w14:textId="77777777" w:rsidR="00EE7031" w:rsidRDefault="00EE7031" w:rsidP="004F6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B8F9" w14:textId="5D45395A" w:rsidR="004F6AE9" w:rsidRDefault="00FF1A30">
    <w:pPr>
      <w:pStyle w:val="Header"/>
    </w:pPr>
    <w:r>
      <w:rPr>
        <w:noProof/>
      </w:rPr>
      <w:pict w14:anchorId="1F641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956532" o:spid="_x0000_s1027" type="#_x0000_t136" style="position:absolute;margin-left:0;margin-top:0;width:479.85pt;height:179.95pt;rotation:315;z-index:-251655168;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4773" w14:textId="13812A59" w:rsidR="004F6AE9" w:rsidRDefault="00FF1A30">
    <w:pPr>
      <w:pStyle w:val="Header"/>
    </w:pPr>
    <w:r>
      <w:rPr>
        <w:noProof/>
      </w:rPr>
      <w:pict w14:anchorId="49711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956533" o:spid="_x0000_s1028"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DDF5" w14:textId="09A0EF79" w:rsidR="004F6AE9" w:rsidRDefault="00FF1A30">
    <w:pPr>
      <w:pStyle w:val="Header"/>
    </w:pPr>
    <w:r>
      <w:rPr>
        <w:noProof/>
      </w:rPr>
      <w:pict w14:anchorId="31865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956531" o:spid="_x0000_s1026" type="#_x0000_t136" style="position:absolute;margin-left:0;margin-top:0;width:479.85pt;height:179.95pt;rotation:315;z-index:-251657216;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4597"/>
    <w:multiLevelType w:val="hybridMultilevel"/>
    <w:tmpl w:val="E8B296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1F5AED"/>
    <w:multiLevelType w:val="hybridMultilevel"/>
    <w:tmpl w:val="EC54F89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2413246">
    <w:abstractNumId w:val="1"/>
  </w:num>
  <w:num w:numId="2" w16cid:durableId="863983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C"/>
    <w:rsid w:val="00021C37"/>
    <w:rsid w:val="0004083E"/>
    <w:rsid w:val="00042A88"/>
    <w:rsid w:val="00054992"/>
    <w:rsid w:val="0007398B"/>
    <w:rsid w:val="000A0AD7"/>
    <w:rsid w:val="00114F34"/>
    <w:rsid w:val="00117346"/>
    <w:rsid w:val="001220A5"/>
    <w:rsid w:val="0014385C"/>
    <w:rsid w:val="00144330"/>
    <w:rsid w:val="001856D2"/>
    <w:rsid w:val="001861B3"/>
    <w:rsid w:val="00192FD0"/>
    <w:rsid w:val="001A1FF0"/>
    <w:rsid w:val="001A332F"/>
    <w:rsid w:val="001D1C0A"/>
    <w:rsid w:val="001D2C03"/>
    <w:rsid w:val="001D2C87"/>
    <w:rsid w:val="001D5515"/>
    <w:rsid w:val="001F142B"/>
    <w:rsid w:val="001F1D1F"/>
    <w:rsid w:val="00207D0F"/>
    <w:rsid w:val="00230A32"/>
    <w:rsid w:val="002330C5"/>
    <w:rsid w:val="00250530"/>
    <w:rsid w:val="0026598E"/>
    <w:rsid w:val="002728C7"/>
    <w:rsid w:val="00281972"/>
    <w:rsid w:val="00293CCB"/>
    <w:rsid w:val="002A3A54"/>
    <w:rsid w:val="002C0A48"/>
    <w:rsid w:val="002C62F8"/>
    <w:rsid w:val="002E383A"/>
    <w:rsid w:val="003045D8"/>
    <w:rsid w:val="0030798C"/>
    <w:rsid w:val="003121F2"/>
    <w:rsid w:val="00316EC8"/>
    <w:rsid w:val="00317869"/>
    <w:rsid w:val="0032341B"/>
    <w:rsid w:val="003357A9"/>
    <w:rsid w:val="003373EC"/>
    <w:rsid w:val="00354659"/>
    <w:rsid w:val="00356AD1"/>
    <w:rsid w:val="0035765F"/>
    <w:rsid w:val="003626A3"/>
    <w:rsid w:val="00384661"/>
    <w:rsid w:val="003A5CEE"/>
    <w:rsid w:val="003B171D"/>
    <w:rsid w:val="003C3498"/>
    <w:rsid w:val="003C5B8A"/>
    <w:rsid w:val="003D66E7"/>
    <w:rsid w:val="003E3F0F"/>
    <w:rsid w:val="003E6755"/>
    <w:rsid w:val="003F0A04"/>
    <w:rsid w:val="003F19EB"/>
    <w:rsid w:val="003F77D7"/>
    <w:rsid w:val="0040314C"/>
    <w:rsid w:val="004077F6"/>
    <w:rsid w:val="00425130"/>
    <w:rsid w:val="00426621"/>
    <w:rsid w:val="004762DD"/>
    <w:rsid w:val="00476CDE"/>
    <w:rsid w:val="00480083"/>
    <w:rsid w:val="004806F9"/>
    <w:rsid w:val="0049621D"/>
    <w:rsid w:val="004A5C07"/>
    <w:rsid w:val="004B4D6F"/>
    <w:rsid w:val="004C485A"/>
    <w:rsid w:val="004C54A1"/>
    <w:rsid w:val="004F6AE9"/>
    <w:rsid w:val="00521F93"/>
    <w:rsid w:val="005347F4"/>
    <w:rsid w:val="00535DF3"/>
    <w:rsid w:val="00552867"/>
    <w:rsid w:val="00555C2B"/>
    <w:rsid w:val="00557A26"/>
    <w:rsid w:val="00583AA4"/>
    <w:rsid w:val="00587132"/>
    <w:rsid w:val="005A2B5A"/>
    <w:rsid w:val="005A2F12"/>
    <w:rsid w:val="005A7929"/>
    <w:rsid w:val="005C4EAB"/>
    <w:rsid w:val="005E5E28"/>
    <w:rsid w:val="006253BC"/>
    <w:rsid w:val="00625FE5"/>
    <w:rsid w:val="00627D6E"/>
    <w:rsid w:val="0063201C"/>
    <w:rsid w:val="00640CC5"/>
    <w:rsid w:val="00671FE6"/>
    <w:rsid w:val="0067606F"/>
    <w:rsid w:val="006836FD"/>
    <w:rsid w:val="006910F0"/>
    <w:rsid w:val="006B0BFD"/>
    <w:rsid w:val="006B1460"/>
    <w:rsid w:val="006E4BC9"/>
    <w:rsid w:val="006F15E4"/>
    <w:rsid w:val="0070035C"/>
    <w:rsid w:val="00704227"/>
    <w:rsid w:val="00713308"/>
    <w:rsid w:val="007431DB"/>
    <w:rsid w:val="00763F0C"/>
    <w:rsid w:val="00766E95"/>
    <w:rsid w:val="0077327E"/>
    <w:rsid w:val="00787C43"/>
    <w:rsid w:val="00792DCB"/>
    <w:rsid w:val="007A1893"/>
    <w:rsid w:val="007A689E"/>
    <w:rsid w:val="007B676B"/>
    <w:rsid w:val="007E22C3"/>
    <w:rsid w:val="008027BC"/>
    <w:rsid w:val="00813B93"/>
    <w:rsid w:val="00836F8F"/>
    <w:rsid w:val="008375A6"/>
    <w:rsid w:val="008445CF"/>
    <w:rsid w:val="00851D94"/>
    <w:rsid w:val="00852B33"/>
    <w:rsid w:val="008743A5"/>
    <w:rsid w:val="008818BB"/>
    <w:rsid w:val="008919A0"/>
    <w:rsid w:val="008A1250"/>
    <w:rsid w:val="008A28C1"/>
    <w:rsid w:val="008B42EF"/>
    <w:rsid w:val="008B627E"/>
    <w:rsid w:val="008C4212"/>
    <w:rsid w:val="008C45F7"/>
    <w:rsid w:val="008C68C6"/>
    <w:rsid w:val="008D391D"/>
    <w:rsid w:val="008E0731"/>
    <w:rsid w:val="008F5226"/>
    <w:rsid w:val="00902EA6"/>
    <w:rsid w:val="00904A0A"/>
    <w:rsid w:val="00961DE9"/>
    <w:rsid w:val="00977757"/>
    <w:rsid w:val="009A034C"/>
    <w:rsid w:val="009D467D"/>
    <w:rsid w:val="009F193C"/>
    <w:rsid w:val="009F52DE"/>
    <w:rsid w:val="00A01E72"/>
    <w:rsid w:val="00A053FD"/>
    <w:rsid w:val="00A10277"/>
    <w:rsid w:val="00A11F40"/>
    <w:rsid w:val="00A15DA2"/>
    <w:rsid w:val="00A41126"/>
    <w:rsid w:val="00A43E1E"/>
    <w:rsid w:val="00A55AD3"/>
    <w:rsid w:val="00A93605"/>
    <w:rsid w:val="00AA2145"/>
    <w:rsid w:val="00AB1236"/>
    <w:rsid w:val="00AB5493"/>
    <w:rsid w:val="00AF6AD2"/>
    <w:rsid w:val="00B333F1"/>
    <w:rsid w:val="00B476CF"/>
    <w:rsid w:val="00B729D3"/>
    <w:rsid w:val="00B818E3"/>
    <w:rsid w:val="00B937C2"/>
    <w:rsid w:val="00B94A7E"/>
    <w:rsid w:val="00BB49FD"/>
    <w:rsid w:val="00BC49FB"/>
    <w:rsid w:val="00BC5346"/>
    <w:rsid w:val="00BC5B59"/>
    <w:rsid w:val="00BE6B89"/>
    <w:rsid w:val="00BF15DD"/>
    <w:rsid w:val="00C22F8C"/>
    <w:rsid w:val="00C420CB"/>
    <w:rsid w:val="00C423F6"/>
    <w:rsid w:val="00C439A0"/>
    <w:rsid w:val="00C56FEB"/>
    <w:rsid w:val="00C62067"/>
    <w:rsid w:val="00C73EF5"/>
    <w:rsid w:val="00C74449"/>
    <w:rsid w:val="00C74FC9"/>
    <w:rsid w:val="00CA0894"/>
    <w:rsid w:val="00CF67CA"/>
    <w:rsid w:val="00CF77AD"/>
    <w:rsid w:val="00D01E82"/>
    <w:rsid w:val="00D251ED"/>
    <w:rsid w:val="00D36B8D"/>
    <w:rsid w:val="00D56383"/>
    <w:rsid w:val="00D56776"/>
    <w:rsid w:val="00D70951"/>
    <w:rsid w:val="00D72961"/>
    <w:rsid w:val="00D95270"/>
    <w:rsid w:val="00D96421"/>
    <w:rsid w:val="00D973F3"/>
    <w:rsid w:val="00DA7CB0"/>
    <w:rsid w:val="00DC387A"/>
    <w:rsid w:val="00DE51AA"/>
    <w:rsid w:val="00E02F25"/>
    <w:rsid w:val="00E12436"/>
    <w:rsid w:val="00E312C8"/>
    <w:rsid w:val="00E73414"/>
    <w:rsid w:val="00E83A7D"/>
    <w:rsid w:val="00E917BE"/>
    <w:rsid w:val="00E95142"/>
    <w:rsid w:val="00E95B95"/>
    <w:rsid w:val="00EB266A"/>
    <w:rsid w:val="00EB5A73"/>
    <w:rsid w:val="00EB62DB"/>
    <w:rsid w:val="00EC09C3"/>
    <w:rsid w:val="00EC557A"/>
    <w:rsid w:val="00ED1BA8"/>
    <w:rsid w:val="00EE0508"/>
    <w:rsid w:val="00EE7031"/>
    <w:rsid w:val="00F0570E"/>
    <w:rsid w:val="00F33223"/>
    <w:rsid w:val="00F3518B"/>
    <w:rsid w:val="00F47EFC"/>
    <w:rsid w:val="00F917DD"/>
    <w:rsid w:val="00FC3A8C"/>
    <w:rsid w:val="00FC5787"/>
    <w:rsid w:val="00FF140F"/>
    <w:rsid w:val="00FF1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43C4"/>
  <w15:chartTrackingRefBased/>
  <w15:docId w15:val="{0E801C8B-5EB2-4A44-B86F-C12A0C06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EC"/>
    <w:pPr>
      <w:spacing w:after="0" w:line="240" w:lineRule="auto"/>
    </w:pPr>
  </w:style>
  <w:style w:type="character" w:styleId="Hyperlink">
    <w:name w:val="Hyperlink"/>
    <w:basedOn w:val="DefaultParagraphFont"/>
    <w:uiPriority w:val="99"/>
    <w:unhideWhenUsed/>
    <w:rsid w:val="00F0570E"/>
    <w:rPr>
      <w:color w:val="0563C1" w:themeColor="hyperlink"/>
      <w:u w:val="single"/>
    </w:rPr>
  </w:style>
  <w:style w:type="character" w:styleId="UnresolvedMention">
    <w:name w:val="Unresolved Mention"/>
    <w:basedOn w:val="DefaultParagraphFont"/>
    <w:uiPriority w:val="99"/>
    <w:semiHidden/>
    <w:unhideWhenUsed/>
    <w:rsid w:val="00F0570E"/>
    <w:rPr>
      <w:color w:val="605E5C"/>
      <w:shd w:val="clear" w:color="auto" w:fill="E1DFDD"/>
    </w:rPr>
  </w:style>
  <w:style w:type="table" w:styleId="TableGrid">
    <w:name w:val="Table Grid"/>
    <w:basedOn w:val="TableNormal"/>
    <w:uiPriority w:val="39"/>
    <w:rsid w:val="00407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6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AE9"/>
  </w:style>
  <w:style w:type="paragraph" w:styleId="Footer">
    <w:name w:val="footer"/>
    <w:basedOn w:val="Normal"/>
    <w:link w:val="FooterChar"/>
    <w:uiPriority w:val="99"/>
    <w:unhideWhenUsed/>
    <w:rsid w:val="004F6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Penticoff, Janet</dc:creator>
  <cp:keywords/>
  <dc:description/>
  <cp:lastModifiedBy>Carter, Sarah</cp:lastModifiedBy>
  <cp:revision>5</cp:revision>
  <dcterms:created xsi:type="dcterms:W3CDTF">2025-01-30T13:42:00Z</dcterms:created>
  <dcterms:modified xsi:type="dcterms:W3CDTF">2025-01-30T14:26:00Z</dcterms:modified>
</cp:coreProperties>
</file>