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321A9E" w14:textId="64818957" w:rsidR="001319B2" w:rsidRPr="00DC4F06" w:rsidRDefault="00DC4F06" w:rsidP="00AB0399">
      <w:pPr>
        <w:spacing w:after="0" w:line="240" w:lineRule="auto"/>
        <w:jc w:val="center"/>
        <w:rPr>
          <w:rFonts w:ascii="Georgia Pro" w:hAnsi="Georgia Pro"/>
          <w:b/>
          <w:bCs/>
        </w:rPr>
      </w:pPr>
      <w:r w:rsidRPr="00DC4F06">
        <w:rPr>
          <w:rFonts w:ascii="Georgia Pro" w:hAnsi="Georgia Pro"/>
          <w:b/>
          <w:bCs/>
        </w:rPr>
        <w:t>Administration</w:t>
      </w:r>
    </w:p>
    <w:p w14:paraId="1CA99ACF" w14:textId="55078DF7" w:rsidR="00DC4F06" w:rsidRDefault="00DC4F06" w:rsidP="00AB0399">
      <w:pPr>
        <w:spacing w:after="0" w:line="240" w:lineRule="auto"/>
        <w:jc w:val="center"/>
        <w:rPr>
          <w:rFonts w:ascii="Georgia Pro" w:hAnsi="Georgia Pro"/>
          <w:b/>
          <w:bCs/>
        </w:rPr>
      </w:pPr>
      <w:r w:rsidRPr="00DC4F06">
        <w:rPr>
          <w:rFonts w:ascii="Georgia Pro" w:hAnsi="Georgia Pro"/>
          <w:b/>
          <w:bCs/>
        </w:rPr>
        <w:t>Ben Jones</w:t>
      </w:r>
    </w:p>
    <w:p w14:paraId="21FE6BF3" w14:textId="498AFD88" w:rsidR="00DC4F06" w:rsidRDefault="00DC4F06" w:rsidP="00AB0399">
      <w:pPr>
        <w:spacing w:after="0" w:line="240" w:lineRule="auto"/>
        <w:jc w:val="center"/>
        <w:rPr>
          <w:rFonts w:ascii="Georgia Pro" w:hAnsi="Georgia Pro"/>
          <w:b/>
          <w:bCs/>
        </w:rPr>
      </w:pPr>
      <w:r>
        <w:rPr>
          <w:rFonts w:ascii="Georgia Pro" w:hAnsi="Georgia Pro"/>
          <w:b/>
          <w:bCs/>
        </w:rPr>
        <w:t>April 22, 202</w:t>
      </w:r>
      <w:r w:rsidR="00AB0399">
        <w:rPr>
          <w:rFonts w:ascii="Georgia Pro" w:hAnsi="Georgia Pro"/>
          <w:b/>
          <w:bCs/>
        </w:rPr>
        <w:t>5</w:t>
      </w:r>
    </w:p>
    <w:p w14:paraId="016211D5" w14:textId="22B20AC7" w:rsidR="00DC4F06" w:rsidRDefault="00AB0399" w:rsidP="00AB0399">
      <w:pPr>
        <w:spacing w:after="0" w:line="240" w:lineRule="auto"/>
        <w:jc w:val="center"/>
        <w:rPr>
          <w:rFonts w:ascii="Georgia Pro" w:hAnsi="Georgia Pro"/>
          <w:b/>
          <w:bCs/>
        </w:rPr>
      </w:pPr>
      <w:r>
        <w:rPr>
          <w:rFonts w:ascii="Georgia Pro" w:hAnsi="Georgia Pro"/>
          <w:b/>
          <w:bCs/>
        </w:rPr>
        <w:t xml:space="preserve">For </w:t>
      </w:r>
      <w:r w:rsidR="00DC4F06">
        <w:rPr>
          <w:rFonts w:ascii="Georgia Pro" w:hAnsi="Georgia Pro"/>
          <w:b/>
          <w:bCs/>
        </w:rPr>
        <w:t xml:space="preserve">May </w:t>
      </w:r>
      <w:r>
        <w:rPr>
          <w:rFonts w:ascii="Georgia Pro" w:hAnsi="Georgia Pro"/>
          <w:b/>
          <w:bCs/>
        </w:rPr>
        <w:t xml:space="preserve">7, </w:t>
      </w:r>
      <w:proofErr w:type="gramStart"/>
      <w:r>
        <w:rPr>
          <w:rFonts w:ascii="Georgia Pro" w:hAnsi="Georgia Pro"/>
          <w:b/>
          <w:bCs/>
        </w:rPr>
        <w:t>2025</w:t>
      </w:r>
      <w:proofErr w:type="gramEnd"/>
      <w:r>
        <w:rPr>
          <w:rFonts w:ascii="Georgia Pro" w:hAnsi="Georgia Pro"/>
          <w:b/>
          <w:bCs/>
        </w:rPr>
        <w:t xml:space="preserve"> Trustee Meeting</w:t>
      </w:r>
    </w:p>
    <w:p w14:paraId="23B6AB44" w14:textId="77777777" w:rsidR="00DC4F06" w:rsidRDefault="00DC4F06" w:rsidP="00DC4F06">
      <w:pPr>
        <w:rPr>
          <w:rFonts w:ascii="Georgia Pro" w:hAnsi="Georgia Pro"/>
          <w:b/>
          <w:bCs/>
        </w:rPr>
      </w:pPr>
    </w:p>
    <w:p w14:paraId="6996249C" w14:textId="555B6FD6" w:rsidR="00DC4F06" w:rsidRDefault="00DC4F06" w:rsidP="00DC4F06">
      <w:pPr>
        <w:rPr>
          <w:rFonts w:ascii="Georgia Pro" w:hAnsi="Georgia Pro"/>
        </w:rPr>
      </w:pPr>
      <w:r>
        <w:rPr>
          <w:rFonts w:ascii="Georgia Pro" w:hAnsi="Georgia Pro"/>
        </w:rPr>
        <w:t xml:space="preserve">The Awards Luncheon on Friday will be quite an event. For this third year now, we’ve been able to attract a nationally known speaker. Some of you may have heard of Patricia Limerick, author of </w:t>
      </w:r>
      <w:r w:rsidRPr="00DC4F06">
        <w:rPr>
          <w:rFonts w:ascii="Georgia Pro" w:hAnsi="Georgia Pro"/>
          <w:i/>
          <w:iCs/>
        </w:rPr>
        <w:t>The Legacy of Conquest</w:t>
      </w:r>
      <w:r>
        <w:rPr>
          <w:rFonts w:ascii="Georgia Pro" w:hAnsi="Georgia Pro"/>
        </w:rPr>
        <w:t xml:space="preserve"> about the history of the </w:t>
      </w:r>
      <w:r w:rsidR="00DE731E">
        <w:rPr>
          <w:rFonts w:ascii="Georgia Pro" w:hAnsi="Georgia Pro"/>
        </w:rPr>
        <w:t>American</w:t>
      </w:r>
      <w:r>
        <w:rPr>
          <w:rFonts w:ascii="Georgia Pro" w:hAnsi="Georgia Pro"/>
        </w:rPr>
        <w:t xml:space="preserve"> West. With introductions from Jon Lauck, I was able to communicate with her and she agreed to come be our banquet speaker this year. She has quite an interesting and personal affiliation with South Dakota that I was unaware of</w:t>
      </w:r>
      <w:r w:rsidR="003D27CE">
        <w:rPr>
          <w:rFonts w:ascii="Georgia Pro" w:hAnsi="Georgia Pro"/>
        </w:rPr>
        <w:t>,</w:t>
      </w:r>
      <w:r>
        <w:rPr>
          <w:rFonts w:ascii="Georgia Pro" w:hAnsi="Georgia Pro"/>
        </w:rPr>
        <w:t xml:space="preserve"> and so she was thrilled to be asked. I hope you can all come to this year’s conference. We’re excited to partner with the folks in Deadwood and look forward to a great event.</w:t>
      </w:r>
    </w:p>
    <w:p w14:paraId="7BD0F1DB" w14:textId="79703B5A" w:rsidR="00DC4F06" w:rsidRDefault="00DC4F06" w:rsidP="00DC4F06">
      <w:pPr>
        <w:rPr>
          <w:rFonts w:ascii="Georgia Pro" w:hAnsi="Georgia Pro"/>
        </w:rPr>
      </w:pPr>
      <w:r>
        <w:rPr>
          <w:rFonts w:ascii="Georgia Pro" w:hAnsi="Georgia Pro"/>
        </w:rPr>
        <w:t xml:space="preserve">A brief update on the CHC’s renovation. </w:t>
      </w:r>
      <w:r w:rsidR="00AB0399">
        <w:rPr>
          <w:rFonts w:ascii="Georgia Pro" w:hAnsi="Georgia Pro"/>
        </w:rPr>
        <w:t>The high-density shelving is now complete</w:t>
      </w:r>
      <w:r w:rsidR="00D94CE2">
        <w:rPr>
          <w:rFonts w:ascii="Georgia Pro" w:hAnsi="Georgia Pro"/>
        </w:rPr>
        <w:t>,</w:t>
      </w:r>
      <w:r w:rsidR="00AB0399">
        <w:rPr>
          <w:rFonts w:ascii="Georgia Pro" w:hAnsi="Georgia Pro"/>
        </w:rPr>
        <w:t xml:space="preserve"> and as Chelle and David also discuss in their report, the archival material will be moved back into the new shelving and some into the older shelving in the coming weeks. The pace will determine when the archives will be back open to the public</w:t>
      </w:r>
      <w:r w:rsidR="00545108">
        <w:rPr>
          <w:rFonts w:ascii="Georgia Pro" w:hAnsi="Georgia Pro"/>
        </w:rPr>
        <w:t>,</w:t>
      </w:r>
      <w:r w:rsidR="00AB0399">
        <w:rPr>
          <w:rFonts w:ascii="Georgia Pro" w:hAnsi="Georgia Pro"/>
        </w:rPr>
        <w:t xml:space="preserve"> but we are shooting for early June. </w:t>
      </w:r>
      <w:r>
        <w:rPr>
          <w:rFonts w:ascii="Georgia Pro" w:hAnsi="Georgia Pro"/>
        </w:rPr>
        <w:t xml:space="preserve">With the passage of the </w:t>
      </w:r>
      <w:r w:rsidR="00AB0399">
        <w:rPr>
          <w:rFonts w:ascii="Georgia Pro" w:hAnsi="Georgia Pro"/>
        </w:rPr>
        <w:t xml:space="preserve">Legislature’s approval of the </w:t>
      </w:r>
      <w:r>
        <w:rPr>
          <w:rFonts w:ascii="Georgia Pro" w:hAnsi="Georgia Pro"/>
        </w:rPr>
        <w:t>$1.5 million in tourism funds, we can now proceed with the general construction in the museum. The general contractor McGough, and the Architect ISG are finalizing plans for this phase as I write this. The timeline calls for the general construction (certain walls, lighting</w:t>
      </w:r>
      <w:r w:rsidR="00AB0399">
        <w:rPr>
          <w:rFonts w:ascii="Georgia Pro" w:hAnsi="Georgia Pro"/>
        </w:rPr>
        <w:t xml:space="preserve"> &amp; electrical, sprinklers, etc.) will start in July after the prep work and detailed construction drawings are finalized in the coming weeks. Meanwhile, the exhibits contractor, Split Rock Studios, will do their detailed construction drawings in the coming weeks and begin constructing exhibits in their facility in St Paul, MN later this year. The current plan intends for their exhibits to be transported to the museum next spring. We still plan on having the museum open for July 4, 2026. </w:t>
      </w:r>
    </w:p>
    <w:p w14:paraId="02BCA916" w14:textId="05DE3B53" w:rsidR="00AB0399" w:rsidRDefault="00AB0399" w:rsidP="00DC4F06">
      <w:pPr>
        <w:rPr>
          <w:rFonts w:ascii="Georgia Pro" w:hAnsi="Georgia Pro"/>
        </w:rPr>
      </w:pPr>
      <w:r>
        <w:rPr>
          <w:rFonts w:ascii="Georgia Pro" w:hAnsi="Georgia Pro"/>
        </w:rPr>
        <w:t xml:space="preserve">The </w:t>
      </w:r>
      <w:r w:rsidR="002664F9">
        <w:rPr>
          <w:rFonts w:ascii="Georgia Pro" w:hAnsi="Georgia Pro"/>
        </w:rPr>
        <w:t>“</w:t>
      </w:r>
      <w:r>
        <w:rPr>
          <w:rFonts w:ascii="Georgia Pro" w:hAnsi="Georgia Pro"/>
        </w:rPr>
        <w:t>Giants in the Earth</w:t>
      </w:r>
      <w:r w:rsidR="002664F9">
        <w:rPr>
          <w:rFonts w:ascii="Georgia Pro" w:hAnsi="Georgia Pro"/>
        </w:rPr>
        <w:t>”</w:t>
      </w:r>
      <w:r>
        <w:rPr>
          <w:rFonts w:ascii="Georgia Pro" w:hAnsi="Georgia Pro"/>
        </w:rPr>
        <w:t xml:space="preserve"> opera is due to be performed in Sioux Falls on April 26</w:t>
      </w:r>
      <w:r w:rsidRPr="00AB0399">
        <w:rPr>
          <w:rFonts w:ascii="Georgia Pro" w:hAnsi="Georgia Pro"/>
          <w:vertAlign w:val="superscript"/>
        </w:rPr>
        <w:t>th</w:t>
      </w:r>
      <w:r>
        <w:rPr>
          <w:rFonts w:ascii="Georgia Pro" w:hAnsi="Georgia Pro"/>
        </w:rPr>
        <w:t xml:space="preserve">. Our collaboration with the SDSO has gone very well and resulted, as we’ve discussed before, </w:t>
      </w:r>
      <w:r w:rsidR="002664F9">
        <w:rPr>
          <w:rFonts w:ascii="Georgia Pro" w:hAnsi="Georgia Pro"/>
        </w:rPr>
        <w:t xml:space="preserve">in </w:t>
      </w:r>
      <w:r>
        <w:rPr>
          <w:rFonts w:ascii="Georgia Pro" w:hAnsi="Georgia Pro"/>
        </w:rPr>
        <w:t xml:space="preserve">the publication of </w:t>
      </w:r>
      <w:r w:rsidR="002664F9">
        <w:rPr>
          <w:rFonts w:ascii="Georgia Pro" w:hAnsi="Georgia Pro"/>
        </w:rPr>
        <w:t xml:space="preserve">an </w:t>
      </w:r>
      <w:r>
        <w:rPr>
          <w:rFonts w:ascii="Georgia Pro" w:hAnsi="Georgia Pro"/>
        </w:rPr>
        <w:t xml:space="preserve">edition of Rolvaag’s work annotated by </w:t>
      </w:r>
      <w:r w:rsidR="002664F9">
        <w:rPr>
          <w:rFonts w:ascii="Georgia Pro" w:hAnsi="Georgia Pro"/>
        </w:rPr>
        <w:t>Allen Carlson. As of the 16</w:t>
      </w:r>
      <w:r w:rsidR="002664F9" w:rsidRPr="002664F9">
        <w:rPr>
          <w:rFonts w:ascii="Georgia Pro" w:hAnsi="Georgia Pro"/>
          <w:vertAlign w:val="superscript"/>
        </w:rPr>
        <w:t>th</w:t>
      </w:r>
      <w:r w:rsidR="002664F9">
        <w:rPr>
          <w:rFonts w:ascii="Georgia Pro" w:hAnsi="Georgia Pro"/>
        </w:rPr>
        <w:t xml:space="preserve"> we’ve sold 536 copies of the book, with 51% of them in the hardcover version.  David Gier’s hard work and the SDSO’s fundraising that brought about this performance is perhaps a model we can repeat. We plan on staying in contact with them on their </w:t>
      </w:r>
      <w:proofErr w:type="gramStart"/>
      <w:r w:rsidR="002664F9">
        <w:rPr>
          <w:rFonts w:ascii="Georgia Pro" w:hAnsi="Georgia Pro"/>
        </w:rPr>
        <w:t>future plans</w:t>
      </w:r>
      <w:proofErr w:type="gramEnd"/>
      <w:r w:rsidR="002664F9">
        <w:rPr>
          <w:rFonts w:ascii="Georgia Pro" w:hAnsi="Georgia Pro"/>
        </w:rPr>
        <w:t xml:space="preserve"> that may allow us to home in on South Dakota’s history.</w:t>
      </w:r>
    </w:p>
    <w:p w14:paraId="5E038D38" w14:textId="3C361276" w:rsidR="00A03A27" w:rsidRDefault="00A03A27" w:rsidP="00DC4F06">
      <w:pPr>
        <w:rPr>
          <w:rFonts w:ascii="Georgia Pro" w:hAnsi="Georgia Pro"/>
        </w:rPr>
      </w:pPr>
      <w:r>
        <w:rPr>
          <w:rFonts w:ascii="Georgia Pro" w:hAnsi="Georgia Pro"/>
        </w:rPr>
        <w:t xml:space="preserve">America 250 </w:t>
      </w:r>
      <w:r w:rsidR="00343D45">
        <w:rPr>
          <w:rFonts w:ascii="Georgia Pro" w:hAnsi="Georgia Pro"/>
        </w:rPr>
        <w:t xml:space="preserve">received national attention on the 18th and 19th of April. The 250th anniversary of the “Lexington Alarm,” Paul Revere’s Ride, and the start of the </w:t>
      </w:r>
      <w:r w:rsidR="004144F5">
        <w:rPr>
          <w:rFonts w:ascii="Georgia Pro" w:hAnsi="Georgia Pro"/>
        </w:rPr>
        <w:t>American Revolutionary W</w:t>
      </w:r>
      <w:r w:rsidR="00343D45">
        <w:rPr>
          <w:rFonts w:ascii="Georgia Pro" w:hAnsi="Georgia Pro"/>
        </w:rPr>
        <w:t>ar at Lexington Common drew large crowds in the Boston area. As part of the commemorati</w:t>
      </w:r>
      <w:r w:rsidR="004144F5">
        <w:rPr>
          <w:rFonts w:ascii="Georgia Pro" w:hAnsi="Georgia Pro"/>
        </w:rPr>
        <w:t>on</w:t>
      </w:r>
      <w:r w:rsidR="00343D45">
        <w:rPr>
          <w:rFonts w:ascii="Georgia Pro" w:hAnsi="Georgia Pro"/>
        </w:rPr>
        <w:t xml:space="preserve"> of the event, South Dakota participated in, “Two Lights for Tomorrow” along with over 20,000 other public and private buildings around the country. The State Capitol represented South </w:t>
      </w:r>
      <w:proofErr w:type="gramStart"/>
      <w:r w:rsidR="00343D45">
        <w:rPr>
          <w:rFonts w:ascii="Georgia Pro" w:hAnsi="Georgia Pro"/>
        </w:rPr>
        <w:t>Dakota  and</w:t>
      </w:r>
      <w:proofErr w:type="gramEnd"/>
      <w:r w:rsidR="00343D45">
        <w:rPr>
          <w:rFonts w:ascii="Georgia Pro" w:hAnsi="Georgia Pro"/>
        </w:rPr>
        <w:t xml:space="preserve"> we know of American Legion posts around the state that also participated. The Two Lights of Tomorrow also received significant local, state, and national media and social media attention. Our colleagues in Virginia report over a billion social media views about all this. Clearly, there is a public appetite for the Semiquincentennial.</w:t>
      </w:r>
      <w:r w:rsidR="004144F5">
        <w:rPr>
          <w:rFonts w:ascii="Georgia Pro" w:hAnsi="Georgia Pro"/>
        </w:rPr>
        <w:t xml:space="preserve">  The model of ideas starting in states and other states and localities opting to join in proved to be a successful one. </w:t>
      </w:r>
    </w:p>
    <w:p w14:paraId="1A3F3D2F" w14:textId="7F5499E9" w:rsidR="004144F5" w:rsidRDefault="004144F5" w:rsidP="00DC4F06">
      <w:pPr>
        <w:rPr>
          <w:rFonts w:ascii="Georgia Pro" w:hAnsi="Georgia Pro"/>
        </w:rPr>
      </w:pPr>
      <w:r>
        <w:rPr>
          <w:rFonts w:ascii="Georgia Pro" w:hAnsi="Georgia Pro"/>
        </w:rPr>
        <w:t xml:space="preserve">New Trustees Katie Molnar (Architectural Historian), Michele Christian (Archivist), Aaron Mayer (Archeologist) will </w:t>
      </w:r>
      <w:r w:rsidR="003C3E42">
        <w:rPr>
          <w:rFonts w:ascii="Georgia Pro" w:hAnsi="Georgia Pro"/>
        </w:rPr>
        <w:t>join</w:t>
      </w:r>
      <w:r>
        <w:rPr>
          <w:rFonts w:ascii="Georgia Pro" w:hAnsi="Georgia Pro"/>
        </w:rPr>
        <w:t xml:space="preserve"> us at our meeting in July. Lura was re-elected to her seat. As of this writing, we await word on the appointments for Tom’s and John’s seat.  </w:t>
      </w:r>
    </w:p>
    <w:p w14:paraId="6E6BD30C" w14:textId="77777777" w:rsidR="004144F5" w:rsidRDefault="004144F5" w:rsidP="00DC4F06">
      <w:pPr>
        <w:rPr>
          <w:rFonts w:ascii="Georgia Pro" w:hAnsi="Georgia Pro"/>
        </w:rPr>
      </w:pPr>
    </w:p>
    <w:p w14:paraId="4FFAE91A" w14:textId="77777777" w:rsidR="00343D45" w:rsidRDefault="00343D45" w:rsidP="00DC4F06">
      <w:pPr>
        <w:rPr>
          <w:rFonts w:ascii="Georgia Pro" w:hAnsi="Georgia Pro"/>
        </w:rPr>
      </w:pPr>
    </w:p>
    <w:p w14:paraId="33B570B4" w14:textId="77777777" w:rsidR="00343D45" w:rsidRDefault="00343D45" w:rsidP="00DC4F06">
      <w:pPr>
        <w:rPr>
          <w:rFonts w:ascii="Georgia Pro" w:hAnsi="Georgia Pro"/>
        </w:rPr>
      </w:pPr>
    </w:p>
    <w:p w14:paraId="6152F2D9" w14:textId="77777777" w:rsidR="002664F9" w:rsidRDefault="002664F9" w:rsidP="00DC4F06">
      <w:pPr>
        <w:rPr>
          <w:rFonts w:ascii="Georgia Pro" w:hAnsi="Georgia Pro"/>
        </w:rPr>
      </w:pPr>
    </w:p>
    <w:p w14:paraId="5790E339" w14:textId="038BAAF8" w:rsidR="00DC4F06" w:rsidRPr="00DC4F06" w:rsidRDefault="00DC4F06" w:rsidP="00DC4F06">
      <w:pPr>
        <w:rPr>
          <w:rFonts w:ascii="Georgia Pro" w:hAnsi="Georgia Pro"/>
        </w:rPr>
      </w:pPr>
      <w:r>
        <w:rPr>
          <w:rFonts w:ascii="Georgia Pro" w:hAnsi="Georgia Pro"/>
        </w:rPr>
        <w:t xml:space="preserve"> </w:t>
      </w:r>
    </w:p>
    <w:sectPr w:rsidR="00DC4F06" w:rsidRPr="00DC4F0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Aptos Display">
    <w:panose1 w:val="00000000000000000000"/>
    <w:charset w:val="00"/>
    <w:family w:val="roman"/>
    <w:notTrueType/>
    <w:pitch w:val="default"/>
  </w:font>
  <w:font w:name="Georgia Pro">
    <w:charset w:val="00"/>
    <w:family w:val="roman"/>
    <w:pitch w:val="variable"/>
    <w:sig w:usb0="800002AF" w:usb1="00000003"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DC4F06"/>
    <w:rsid w:val="001319B2"/>
    <w:rsid w:val="002664F9"/>
    <w:rsid w:val="002E0778"/>
    <w:rsid w:val="002F4D55"/>
    <w:rsid w:val="00343D45"/>
    <w:rsid w:val="003C3E42"/>
    <w:rsid w:val="003D27CE"/>
    <w:rsid w:val="003D7BF5"/>
    <w:rsid w:val="004144F5"/>
    <w:rsid w:val="004A05D7"/>
    <w:rsid w:val="004F6435"/>
    <w:rsid w:val="00545108"/>
    <w:rsid w:val="00603FD2"/>
    <w:rsid w:val="00A03A27"/>
    <w:rsid w:val="00AB0399"/>
    <w:rsid w:val="00C83086"/>
    <w:rsid w:val="00D94CE2"/>
    <w:rsid w:val="00DC4F06"/>
    <w:rsid w:val="00DE73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6B377AD"/>
  <w15:chartTrackingRefBased/>
  <w15:docId w15:val="{6729EF7D-7F26-49D6-9237-9D7CFA8FA4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C4F0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C4F0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C4F0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C4F0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C4F0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C4F0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C4F0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C4F0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C4F0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C4F0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C4F0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C4F0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C4F0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C4F0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C4F0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C4F0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C4F0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C4F06"/>
    <w:rPr>
      <w:rFonts w:eastAsiaTheme="majorEastAsia" w:cstheme="majorBidi"/>
      <w:color w:val="272727" w:themeColor="text1" w:themeTint="D8"/>
    </w:rPr>
  </w:style>
  <w:style w:type="paragraph" w:styleId="Title">
    <w:name w:val="Title"/>
    <w:basedOn w:val="Normal"/>
    <w:next w:val="Normal"/>
    <w:link w:val="TitleChar"/>
    <w:uiPriority w:val="10"/>
    <w:qFormat/>
    <w:rsid w:val="00DC4F0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C4F0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C4F0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C4F0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C4F06"/>
    <w:pPr>
      <w:spacing w:before="160"/>
      <w:jc w:val="center"/>
    </w:pPr>
    <w:rPr>
      <w:i/>
      <w:iCs/>
      <w:color w:val="404040" w:themeColor="text1" w:themeTint="BF"/>
    </w:rPr>
  </w:style>
  <w:style w:type="character" w:customStyle="1" w:styleId="QuoteChar">
    <w:name w:val="Quote Char"/>
    <w:basedOn w:val="DefaultParagraphFont"/>
    <w:link w:val="Quote"/>
    <w:uiPriority w:val="29"/>
    <w:rsid w:val="00DC4F06"/>
    <w:rPr>
      <w:i/>
      <w:iCs/>
      <w:color w:val="404040" w:themeColor="text1" w:themeTint="BF"/>
    </w:rPr>
  </w:style>
  <w:style w:type="paragraph" w:styleId="ListParagraph">
    <w:name w:val="List Paragraph"/>
    <w:basedOn w:val="Normal"/>
    <w:uiPriority w:val="34"/>
    <w:qFormat/>
    <w:rsid w:val="00DC4F06"/>
    <w:pPr>
      <w:ind w:left="720"/>
      <w:contextualSpacing/>
    </w:pPr>
  </w:style>
  <w:style w:type="character" w:styleId="IntenseEmphasis">
    <w:name w:val="Intense Emphasis"/>
    <w:basedOn w:val="DefaultParagraphFont"/>
    <w:uiPriority w:val="21"/>
    <w:qFormat/>
    <w:rsid w:val="00DC4F06"/>
    <w:rPr>
      <w:i/>
      <w:iCs/>
      <w:color w:val="0F4761" w:themeColor="accent1" w:themeShade="BF"/>
    </w:rPr>
  </w:style>
  <w:style w:type="paragraph" w:styleId="IntenseQuote">
    <w:name w:val="Intense Quote"/>
    <w:basedOn w:val="Normal"/>
    <w:next w:val="Normal"/>
    <w:link w:val="IntenseQuoteChar"/>
    <w:uiPriority w:val="30"/>
    <w:qFormat/>
    <w:rsid w:val="00DC4F0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C4F06"/>
    <w:rPr>
      <w:i/>
      <w:iCs/>
      <w:color w:val="0F4761" w:themeColor="accent1" w:themeShade="BF"/>
    </w:rPr>
  </w:style>
  <w:style w:type="character" w:styleId="IntenseReference">
    <w:name w:val="Intense Reference"/>
    <w:basedOn w:val="DefaultParagraphFont"/>
    <w:uiPriority w:val="32"/>
    <w:qFormat/>
    <w:rsid w:val="00DC4F0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604840B7B33FD4691E9A4B1D08BC163" ma:contentTypeVersion="14" ma:contentTypeDescription="Create a new document." ma:contentTypeScope="" ma:versionID="6482a3fe5046666983f39c0e83834ecf">
  <xsd:schema xmlns:xsd="http://www.w3.org/2001/XMLSchema" xmlns:xs="http://www.w3.org/2001/XMLSchema" xmlns:p="http://schemas.microsoft.com/office/2006/metadata/properties" xmlns:ns2="f24ee90a-6dcb-4e39-9917-ceeb56505a96" xmlns:ns3="f54d47e3-a708-4f9e-bcf2-656cecb8c362" targetNamespace="http://schemas.microsoft.com/office/2006/metadata/properties" ma:root="true" ma:fieldsID="b7cbfadea3da791c5c204c6adbc9653a" ns2:_="" ns3:_="">
    <xsd:import namespace="f24ee90a-6dcb-4e39-9917-ceeb56505a96"/>
    <xsd:import namespace="f54d47e3-a708-4f9e-bcf2-656cecb8c36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4ee90a-6dcb-4e39-9917-ceeb56505a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3294375-8520-4c51-81be-671e42c4be9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54d47e3-a708-4f9e-bcf2-656cecb8c36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0710cd25-563f-408e-afb8-6e2590aa06df}" ma:internalName="TaxCatchAll" ma:showField="CatchAllData" ma:web="f54d47e3-a708-4f9e-bcf2-656cecb8c36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f54d47e3-a708-4f9e-bcf2-656cecb8c362" xsi:nil="true"/>
    <lcf76f155ced4ddcb4097134ff3c332f xmlns="f24ee90a-6dcb-4e39-9917-ceeb56505a9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0EE8344-B791-4BF7-9D4C-A93744C0A0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4ee90a-6dcb-4e39-9917-ceeb56505a96"/>
    <ds:schemaRef ds:uri="f54d47e3-a708-4f9e-bcf2-656cecb8c3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209ED86-18A9-445F-BA52-448ABC3966FF}">
  <ds:schemaRefs>
    <ds:schemaRef ds:uri="http://schemas.microsoft.com/sharepoint/v3/contenttype/forms"/>
  </ds:schemaRefs>
</ds:datastoreItem>
</file>

<file path=customXml/itemProps3.xml><?xml version="1.0" encoding="utf-8"?>
<ds:datastoreItem xmlns:ds="http://schemas.openxmlformats.org/officeDocument/2006/customXml" ds:itemID="{9F9F9BB1-491D-44CE-BBA9-516070730BFA}">
  <ds:schemaRefs>
    <ds:schemaRef ds:uri="http://schemas.microsoft.com/office/2006/metadata/properties"/>
    <ds:schemaRef ds:uri="http://schemas.microsoft.com/office/infopath/2007/PartnerControls"/>
    <ds:schemaRef ds:uri="f54d47e3-a708-4f9e-bcf2-656cecb8c362"/>
    <ds:schemaRef ds:uri="f24ee90a-6dcb-4e39-9917-ceeb56505a96"/>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1</Pages>
  <Words>551</Words>
  <Characters>3146</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State of South Dakota</Company>
  <LinksUpToDate>false</LinksUpToDate>
  <CharactersWithSpaces>3690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Jones, Ben  (DOE)</dc:creator>
  <cp:keywords/>
  <dc:description/>
  <cp:lastModifiedBy>Jones, Ben  (DOE)</cp:lastModifiedBy>
  <cp:revision>8</cp:revision>
  <dcterms:created xsi:type="dcterms:W3CDTF">2025-04-22T18:22:00Z</dcterms:created>
  <dcterms:modified xsi:type="dcterms:W3CDTF">2025-04-22T17:43:00Z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122b6171-7c6e-4960-a6db-a479dd0e99b4</vt:lpwstr>
  </property>
  <property fmtid="{D5CDD505-2E9C-101B-9397-08002B2CF9AE}" pid="3" name="ContentTypeId">
    <vt:lpwstr>0x010100C604840B7B33FD4691E9A4B1D08BC163</vt:lpwstr>
  </property>
  <property fmtid="{D5CDD505-2E9C-101B-9397-08002B2CF9AE}" pid="4" name="MSIP_Label_ec3b1a8e-41ed-4bc7-92d1-0305fbefd661_Enabled">
    <vt:lpwstr>true</vt:lpwstr>
  </property>
  <property fmtid="{D5CDD505-2E9C-101B-9397-08002B2CF9AE}" pid="5" name="MSIP_Label_ec3b1a8e-41ed-4bc7-92d1-0305fbefd661_SetDate">
    <vt:lpwstr>2025-04-22T17:20:27Z</vt:lpwstr>
  </property>
  <property fmtid="{D5CDD505-2E9C-101B-9397-08002B2CF9AE}" pid="6" name="MSIP_Label_ec3b1a8e-41ed-4bc7-92d1-0305fbefd661_Method">
    <vt:lpwstr>Standard</vt:lpwstr>
  </property>
  <property fmtid="{D5CDD505-2E9C-101B-9397-08002B2CF9AE}" pid="7" name="MSIP_Label_ec3b1a8e-41ed-4bc7-92d1-0305fbefd661_Name">
    <vt:lpwstr>M365-General - Anyone (Unrestricted)-Prod</vt:lpwstr>
  </property>
  <property fmtid="{D5CDD505-2E9C-101B-9397-08002B2CF9AE}" pid="8" name="MSIP_Label_ec3b1a8e-41ed-4bc7-92d1-0305fbefd661_SiteId">
    <vt:lpwstr>70af547c-69ab-416d-b4a6-543b5ce52b99</vt:lpwstr>
  </property>
  <property fmtid="{D5CDD505-2E9C-101B-9397-08002B2CF9AE}" pid="9" name="MSIP_Label_ec3b1a8e-41ed-4bc7-92d1-0305fbefd661_ActionId">
    <vt:lpwstr>0e7eac5a-f4c6-4080-8331-755faa6807c3</vt:lpwstr>
  </property>
  <property fmtid="{D5CDD505-2E9C-101B-9397-08002B2CF9AE}" pid="10" name="MSIP_Label_ec3b1a8e-41ed-4bc7-92d1-0305fbefd661_ContentBits">
    <vt:lpwstr>0</vt:lpwstr>
  </property>
  <property fmtid="{D5CDD505-2E9C-101B-9397-08002B2CF9AE}" pid="11" name="MediaServiceImageTags">
    <vt:lpwstr/>
  </property>
</Properties>
</file>