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F6E1" w14:textId="64E4805E" w:rsidR="007E739D" w:rsidRPr="007E739D" w:rsidRDefault="007E739D" w:rsidP="007E739D">
      <w:pPr>
        <w:tabs>
          <w:tab w:val="num" w:pos="720"/>
        </w:tabs>
        <w:spacing w:line="360" w:lineRule="auto"/>
        <w:ind w:left="360" w:hanging="360"/>
        <w:rPr>
          <w:rFonts w:ascii="Arial" w:hAnsi="Arial" w:cs="Arial"/>
          <w:b/>
          <w:bCs/>
          <w:sz w:val="24"/>
          <w:szCs w:val="24"/>
        </w:rPr>
      </w:pPr>
      <w:r w:rsidRPr="007E739D">
        <w:rPr>
          <w:rFonts w:ascii="Arial" w:hAnsi="Arial" w:cs="Arial"/>
          <w:b/>
          <w:bCs/>
          <w:sz w:val="24"/>
          <w:szCs w:val="24"/>
        </w:rPr>
        <w:t>BILLS IN CONGRESS</w:t>
      </w:r>
      <w:r w:rsidR="00E52CC3">
        <w:rPr>
          <w:rFonts w:ascii="Arial" w:hAnsi="Arial" w:cs="Arial"/>
          <w:b/>
          <w:bCs/>
          <w:sz w:val="24"/>
          <w:szCs w:val="24"/>
        </w:rPr>
        <w:t xml:space="preserve"> – April 2023</w:t>
      </w:r>
    </w:p>
    <w:p w14:paraId="1BD0E7BB" w14:textId="3F81F246"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r w:rsidRPr="007E739D">
        <w:rPr>
          <w:rFonts w:ascii="Arial" w:eastAsia="Times New Roman" w:hAnsi="Arial" w:cs="Arial"/>
          <w:color w:val="FF0000"/>
          <w:sz w:val="24"/>
          <w:szCs w:val="24"/>
        </w:rPr>
        <w:t>*NEW* </w:t>
      </w:r>
      <w:hyperlink r:id="rId5" w:history="1">
        <w:r w:rsidRPr="007E739D">
          <w:rPr>
            <w:rStyle w:val="Hyperlink"/>
            <w:rFonts w:ascii="Arial" w:eastAsia="Times New Roman" w:hAnsi="Arial" w:cs="Arial"/>
            <w:color w:val="1B365D"/>
            <w:sz w:val="24"/>
            <w:szCs w:val="24"/>
          </w:rPr>
          <w:t>Promoting Responsible Emergency Protocols (PREP) for All Students Act</w:t>
        </w:r>
      </w:hyperlink>
      <w:r w:rsidRPr="007E739D">
        <w:rPr>
          <w:rFonts w:ascii="Arial" w:eastAsia="Times New Roman" w:hAnsi="Arial" w:cs="Arial"/>
          <w:color w:val="202020"/>
          <w:sz w:val="24"/>
          <w:szCs w:val="24"/>
        </w:rPr>
        <w:t> (</w:t>
      </w:r>
      <w:hyperlink r:id="rId6" w:history="1">
        <w:r w:rsidRPr="007E739D">
          <w:rPr>
            <w:rStyle w:val="Hyperlink"/>
            <w:rFonts w:ascii="Arial" w:eastAsia="Times New Roman" w:hAnsi="Arial" w:cs="Arial"/>
            <w:color w:val="1B365D"/>
            <w:sz w:val="24"/>
            <w:szCs w:val="24"/>
          </w:rPr>
          <w:t>S. 1072</w:t>
        </w:r>
      </w:hyperlink>
      <w:r w:rsidRPr="007E739D">
        <w:rPr>
          <w:rFonts w:ascii="Arial" w:eastAsia="Times New Roman" w:hAnsi="Arial" w:cs="Arial"/>
          <w:color w:val="202020"/>
          <w:sz w:val="24"/>
          <w:szCs w:val="24"/>
        </w:rPr>
        <w:t>) - This bill will ensure “that public schools, early child care education centers, and institutions of higher education have the tools they need to develop inclusive emergency preparedness protocols.” Specifically, the PREP Act would establish a federal advisory council to develop guidelines for accessible, developmentally appropriate, culturally aware, and trauma informed emergency preparedness protocols.</w:t>
      </w:r>
    </w:p>
    <w:p w14:paraId="3856BE09" w14:textId="77777777"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r w:rsidRPr="007E739D">
        <w:rPr>
          <w:rFonts w:ascii="Arial" w:eastAsia="Times New Roman" w:hAnsi="Arial" w:cs="Arial"/>
          <w:color w:val="FF0000"/>
          <w:sz w:val="24"/>
          <w:szCs w:val="24"/>
        </w:rPr>
        <w:t>*NEW*</w:t>
      </w:r>
      <w:r w:rsidRPr="007E739D">
        <w:rPr>
          <w:rFonts w:ascii="Arial" w:eastAsia="Times New Roman" w:hAnsi="Arial" w:cs="Arial"/>
          <w:color w:val="202020"/>
          <w:sz w:val="24"/>
          <w:szCs w:val="24"/>
        </w:rPr>
        <w:t> </w:t>
      </w:r>
      <w:hyperlink r:id="rId7" w:history="1">
        <w:r w:rsidRPr="007E739D">
          <w:rPr>
            <w:rStyle w:val="Hyperlink"/>
            <w:rFonts w:ascii="Arial" w:eastAsia="Times New Roman" w:hAnsi="Arial" w:cs="Arial"/>
            <w:color w:val="1B365D"/>
            <w:sz w:val="24"/>
            <w:szCs w:val="24"/>
          </w:rPr>
          <w:t>Response, Innovate, Succeed, and Empower (RISE) Act</w:t>
        </w:r>
      </w:hyperlink>
      <w:r w:rsidRPr="007E739D">
        <w:rPr>
          <w:rFonts w:ascii="Arial" w:eastAsia="Times New Roman" w:hAnsi="Arial" w:cs="Arial"/>
          <w:color w:val="202020"/>
          <w:sz w:val="24"/>
          <w:szCs w:val="24"/>
        </w:rPr>
        <w:t> </w:t>
      </w:r>
      <w:hyperlink r:id="rId8" w:history="1">
        <w:r w:rsidRPr="007E739D">
          <w:rPr>
            <w:rStyle w:val="Hyperlink"/>
            <w:rFonts w:ascii="Arial" w:eastAsia="Times New Roman" w:hAnsi="Arial" w:cs="Arial"/>
            <w:color w:val="1B365D"/>
            <w:sz w:val="24"/>
            <w:szCs w:val="24"/>
          </w:rPr>
          <w:t>(S.1071</w:t>
        </w:r>
      </w:hyperlink>
      <w:r w:rsidRPr="007E739D">
        <w:rPr>
          <w:rFonts w:ascii="Arial" w:eastAsia="Times New Roman" w:hAnsi="Arial" w:cs="Arial"/>
          <w:color w:val="202020"/>
          <w:sz w:val="24"/>
          <w:szCs w:val="24"/>
        </w:rPr>
        <w:t> / </w:t>
      </w:r>
      <w:hyperlink r:id="rId9" w:history="1">
        <w:r w:rsidRPr="007E739D">
          <w:rPr>
            <w:rStyle w:val="Hyperlink"/>
            <w:rFonts w:ascii="Arial" w:eastAsia="Times New Roman" w:hAnsi="Arial" w:cs="Arial"/>
            <w:color w:val="1B365D"/>
            <w:sz w:val="24"/>
            <w:szCs w:val="24"/>
          </w:rPr>
          <w:t>H.R. 2401</w:t>
        </w:r>
      </w:hyperlink>
      <w:r w:rsidRPr="007E739D">
        <w:rPr>
          <w:rFonts w:ascii="Arial" w:eastAsia="Times New Roman" w:hAnsi="Arial" w:cs="Arial"/>
          <w:color w:val="202020"/>
          <w:sz w:val="24"/>
          <w:szCs w:val="24"/>
        </w:rPr>
        <w:t>) - This bill requires institutions of higher education to accept a student’s individualized education program (IEP), accommodation plan, or other prior evaluation as proof of disability when a student requests reasonable accommodations from a college or university, so they do not have to pay for additional evaluations. The bill also provides funding for technical assistance centers to train faculty on how to support students with disabilities and provides resources to students with disabilities and their families.</w:t>
      </w:r>
    </w:p>
    <w:p w14:paraId="72C53596" w14:textId="77777777"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r w:rsidRPr="007E739D">
        <w:rPr>
          <w:rFonts w:ascii="Arial" w:eastAsia="Times New Roman" w:hAnsi="Arial" w:cs="Arial"/>
          <w:color w:val="FF0000"/>
          <w:sz w:val="24"/>
          <w:szCs w:val="24"/>
        </w:rPr>
        <w:t>*NEW* </w:t>
      </w:r>
      <w:r w:rsidRPr="007E739D">
        <w:rPr>
          <w:rFonts w:ascii="Arial" w:eastAsia="Times New Roman" w:hAnsi="Arial" w:cs="Arial"/>
          <w:color w:val="202020"/>
          <w:sz w:val="24"/>
          <w:szCs w:val="24"/>
        </w:rPr>
        <w:t>The </w:t>
      </w:r>
      <w:hyperlink r:id="rId10" w:history="1">
        <w:r w:rsidRPr="007E739D">
          <w:rPr>
            <w:rStyle w:val="Hyperlink"/>
            <w:rFonts w:ascii="Arial" w:eastAsia="Times New Roman" w:hAnsi="Arial" w:cs="Arial"/>
            <w:color w:val="1B365D"/>
            <w:sz w:val="24"/>
            <w:szCs w:val="24"/>
          </w:rPr>
          <w:t>Safe Equitable Campus Resources and Education</w:t>
        </w:r>
      </w:hyperlink>
      <w:r w:rsidRPr="007E739D">
        <w:rPr>
          <w:rFonts w:ascii="Arial" w:eastAsia="Times New Roman" w:hAnsi="Arial" w:cs="Arial"/>
          <w:color w:val="202020"/>
          <w:sz w:val="24"/>
          <w:szCs w:val="24"/>
        </w:rPr>
        <w:t> (</w:t>
      </w:r>
      <w:proofErr w:type="spellStart"/>
      <w:r w:rsidRPr="007E739D">
        <w:rPr>
          <w:rFonts w:ascii="Arial" w:eastAsia="Times New Roman" w:hAnsi="Arial" w:cs="Arial"/>
          <w:color w:val="202020"/>
          <w:sz w:val="24"/>
          <w:szCs w:val="24"/>
        </w:rPr>
        <w:t>SECuRE</w:t>
      </w:r>
      <w:proofErr w:type="spellEnd"/>
      <w:r w:rsidRPr="007E739D">
        <w:rPr>
          <w:rFonts w:ascii="Arial" w:eastAsia="Times New Roman" w:hAnsi="Arial" w:cs="Arial"/>
          <w:color w:val="202020"/>
          <w:sz w:val="24"/>
          <w:szCs w:val="24"/>
        </w:rPr>
        <w:t>) Act (</w:t>
      </w:r>
      <w:hyperlink r:id="rId11" w:history="1">
        <w:r w:rsidRPr="007E739D">
          <w:rPr>
            <w:rStyle w:val="Hyperlink"/>
            <w:rFonts w:ascii="Arial" w:eastAsia="Times New Roman" w:hAnsi="Arial" w:cs="Arial"/>
            <w:color w:val="1B365D"/>
            <w:sz w:val="24"/>
            <w:szCs w:val="24"/>
          </w:rPr>
          <w:t>S. 1070</w:t>
        </w:r>
      </w:hyperlink>
      <w:r w:rsidRPr="007E739D">
        <w:rPr>
          <w:rFonts w:ascii="Arial" w:eastAsia="Times New Roman" w:hAnsi="Arial" w:cs="Arial"/>
          <w:color w:val="202020"/>
          <w:sz w:val="24"/>
          <w:szCs w:val="24"/>
        </w:rPr>
        <w:t> / </w:t>
      </w:r>
      <w:hyperlink r:id="rId12" w:history="1">
        <w:r w:rsidRPr="007E739D">
          <w:rPr>
            <w:rStyle w:val="Hyperlink"/>
            <w:rFonts w:ascii="Arial" w:eastAsia="Times New Roman" w:hAnsi="Arial" w:cs="Arial"/>
            <w:color w:val="1B365D"/>
            <w:sz w:val="24"/>
            <w:szCs w:val="24"/>
          </w:rPr>
          <w:t>H.R. 2421</w:t>
        </w:r>
      </w:hyperlink>
      <w:r w:rsidRPr="007E739D">
        <w:rPr>
          <w:rFonts w:ascii="Arial" w:eastAsia="Times New Roman" w:hAnsi="Arial" w:cs="Arial"/>
          <w:color w:val="202020"/>
          <w:sz w:val="24"/>
          <w:szCs w:val="24"/>
        </w:rPr>
        <w:t xml:space="preserve">) - This bill will strengthen the </w:t>
      </w:r>
      <w:proofErr w:type="spellStart"/>
      <w:r w:rsidRPr="007E739D">
        <w:rPr>
          <w:rFonts w:ascii="Arial" w:eastAsia="Times New Roman" w:hAnsi="Arial" w:cs="Arial"/>
          <w:color w:val="202020"/>
          <w:sz w:val="24"/>
          <w:szCs w:val="24"/>
        </w:rPr>
        <w:t>Clery</w:t>
      </w:r>
      <w:proofErr w:type="spellEnd"/>
      <w:r w:rsidRPr="007E739D">
        <w:rPr>
          <w:rFonts w:ascii="Arial" w:eastAsia="Times New Roman" w:hAnsi="Arial" w:cs="Arial"/>
          <w:color w:val="202020"/>
          <w:sz w:val="24"/>
          <w:szCs w:val="24"/>
        </w:rPr>
        <w:t xml:space="preserve"> Act. It aims to ensure the needs of people with disabilities are included in campus planning and response to incidents of sexual assault, domestic violence, dating violence, and stalking. It also requires that materials provided to the campus community are available in accessible formats for people with disabilities.</w:t>
      </w:r>
    </w:p>
    <w:p w14:paraId="12A59EED" w14:textId="7FE006D3"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r w:rsidRPr="007E739D">
        <w:rPr>
          <w:rFonts w:ascii="Arial" w:eastAsia="Times New Roman" w:hAnsi="Arial" w:cs="Arial"/>
          <w:color w:val="FF0000"/>
          <w:sz w:val="24"/>
          <w:szCs w:val="24"/>
        </w:rPr>
        <w:t>*NEW* </w:t>
      </w:r>
      <w:hyperlink r:id="rId13" w:tgtFrame="_blank" w:history="1">
        <w:r w:rsidRPr="007E739D">
          <w:rPr>
            <w:rStyle w:val="Hyperlink"/>
            <w:rFonts w:ascii="Arial" w:eastAsia="Times New Roman" w:hAnsi="Arial" w:cs="Arial"/>
            <w:color w:val="1B365D"/>
            <w:sz w:val="24"/>
            <w:szCs w:val="24"/>
          </w:rPr>
          <w:t>The Guardianship Bill of Rights Act</w:t>
        </w:r>
      </w:hyperlink>
      <w:r w:rsidRPr="007E739D">
        <w:rPr>
          <w:rFonts w:ascii="Arial" w:eastAsia="Times New Roman" w:hAnsi="Arial" w:cs="Arial"/>
          <w:color w:val="202020"/>
          <w:sz w:val="24"/>
          <w:szCs w:val="24"/>
        </w:rPr>
        <w:t> (</w:t>
      </w:r>
      <w:hyperlink r:id="rId14" w:tgtFrame="_blank" w:history="1">
        <w:r w:rsidRPr="007E739D">
          <w:rPr>
            <w:rStyle w:val="Hyperlink"/>
            <w:rFonts w:ascii="Arial" w:eastAsia="Times New Roman" w:hAnsi="Arial" w:cs="Arial"/>
            <w:color w:val="1B365D"/>
            <w:sz w:val="24"/>
            <w:szCs w:val="24"/>
          </w:rPr>
          <w:t>S.1148</w:t>
        </w:r>
      </w:hyperlink>
      <w:r w:rsidRPr="007E739D">
        <w:rPr>
          <w:rFonts w:ascii="Arial" w:eastAsia="Times New Roman" w:hAnsi="Arial" w:cs="Arial"/>
          <w:color w:val="202020"/>
          <w:sz w:val="24"/>
          <w:szCs w:val="24"/>
        </w:rPr>
        <w:t xml:space="preserve">)- This bill would create a national council to look for better alternatives to guardianships and create a new state program to protect the rights of people with disabilities, similar to Disability Rights </w:t>
      </w:r>
      <w:r>
        <w:rPr>
          <w:rFonts w:ascii="Arial" w:eastAsia="Times New Roman" w:hAnsi="Arial" w:cs="Arial"/>
          <w:color w:val="202020"/>
          <w:sz w:val="24"/>
          <w:szCs w:val="24"/>
        </w:rPr>
        <w:t>SD</w:t>
      </w:r>
      <w:r w:rsidRPr="007E739D">
        <w:rPr>
          <w:rFonts w:ascii="Arial" w:eastAsia="Times New Roman" w:hAnsi="Arial" w:cs="Arial"/>
          <w:color w:val="202020"/>
          <w:sz w:val="24"/>
          <w:szCs w:val="24"/>
        </w:rPr>
        <w:t>, for people being considered for or living under a guardianship.</w:t>
      </w:r>
    </w:p>
    <w:p w14:paraId="76CE9F12" w14:textId="77777777"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r w:rsidRPr="007E739D">
        <w:rPr>
          <w:rFonts w:ascii="Arial" w:eastAsia="Times New Roman" w:hAnsi="Arial" w:cs="Arial"/>
          <w:color w:val="FF0000"/>
          <w:sz w:val="24"/>
          <w:szCs w:val="24"/>
        </w:rPr>
        <w:t>*NEW* </w:t>
      </w:r>
      <w:hyperlink r:id="rId15" w:tgtFrame="_blank" w:history="1">
        <w:r w:rsidRPr="007E739D">
          <w:rPr>
            <w:rStyle w:val="Hyperlink"/>
            <w:rFonts w:ascii="Arial" w:eastAsia="Times New Roman" w:hAnsi="Arial" w:cs="Arial"/>
            <w:color w:val="1B365D"/>
            <w:sz w:val="24"/>
            <w:szCs w:val="24"/>
          </w:rPr>
          <w:t>Real Emergency Access for Aging and Disability Inclusion (REAADI) for Disasters Act</w:t>
        </w:r>
      </w:hyperlink>
      <w:r w:rsidRPr="007E739D">
        <w:rPr>
          <w:rFonts w:ascii="Arial" w:eastAsia="Times New Roman" w:hAnsi="Arial" w:cs="Arial"/>
          <w:color w:val="202020"/>
          <w:sz w:val="24"/>
          <w:szCs w:val="24"/>
        </w:rPr>
        <w:t> (</w:t>
      </w:r>
      <w:hyperlink r:id="rId16" w:history="1">
        <w:r w:rsidRPr="007E739D">
          <w:rPr>
            <w:rStyle w:val="Hyperlink"/>
            <w:rFonts w:ascii="Arial" w:eastAsia="Times New Roman" w:hAnsi="Arial" w:cs="Arial"/>
            <w:color w:val="1B365D"/>
            <w:sz w:val="24"/>
            <w:szCs w:val="24"/>
          </w:rPr>
          <w:t>S.1049</w:t>
        </w:r>
      </w:hyperlink>
      <w:r w:rsidRPr="007E739D">
        <w:rPr>
          <w:rFonts w:ascii="Arial" w:eastAsia="Times New Roman" w:hAnsi="Arial" w:cs="Arial"/>
          <w:color w:val="202020"/>
          <w:sz w:val="24"/>
          <w:szCs w:val="24"/>
        </w:rPr>
        <w:t> / </w:t>
      </w:r>
      <w:hyperlink r:id="rId17" w:history="1">
        <w:r w:rsidRPr="007E739D">
          <w:rPr>
            <w:rStyle w:val="Hyperlink"/>
            <w:rFonts w:ascii="Arial" w:eastAsia="Times New Roman" w:hAnsi="Arial" w:cs="Arial"/>
            <w:color w:val="1B365D"/>
            <w:sz w:val="24"/>
            <w:szCs w:val="24"/>
          </w:rPr>
          <w:t>H.R. 2371</w:t>
        </w:r>
      </w:hyperlink>
      <w:r w:rsidRPr="007E739D">
        <w:rPr>
          <w:rFonts w:ascii="Arial" w:eastAsia="Times New Roman" w:hAnsi="Arial" w:cs="Arial"/>
          <w:color w:val="202020"/>
          <w:sz w:val="24"/>
          <w:szCs w:val="24"/>
        </w:rPr>
        <w:t>) - This bill will create programs so that people with disabilities are better included in the plans to stay safe during natural disasters, like hurricanes, tornadoes, earthquakes, and more.</w:t>
      </w:r>
    </w:p>
    <w:p w14:paraId="6FB95F7C" w14:textId="77777777"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hyperlink r:id="rId18" w:tgtFrame="_blank" w:history="1">
        <w:r w:rsidRPr="007E739D">
          <w:rPr>
            <w:rStyle w:val="Hyperlink"/>
            <w:rFonts w:ascii="Arial" w:eastAsia="Times New Roman" w:hAnsi="Arial" w:cs="Arial"/>
            <w:color w:val="1B365D"/>
            <w:sz w:val="24"/>
            <w:szCs w:val="24"/>
          </w:rPr>
          <w:t>Clear and Concise Content Act</w:t>
        </w:r>
      </w:hyperlink>
      <w:r w:rsidRPr="007E739D">
        <w:rPr>
          <w:rFonts w:ascii="Arial" w:eastAsia="Times New Roman" w:hAnsi="Arial" w:cs="Arial"/>
          <w:color w:val="202020"/>
          <w:sz w:val="24"/>
          <w:szCs w:val="24"/>
        </w:rPr>
        <w:t>. - The bill ensures that guidance, instructions, and other public information published by the federal government is written in plain language</w:t>
      </w:r>
    </w:p>
    <w:p w14:paraId="35911242" w14:textId="77777777"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hyperlink r:id="rId19" w:tgtFrame="_blank" w:history="1">
        <w:r w:rsidRPr="007E739D">
          <w:rPr>
            <w:rStyle w:val="Hyperlink"/>
            <w:rFonts w:ascii="Arial" w:eastAsia="Times New Roman" w:hAnsi="Arial" w:cs="Arial"/>
            <w:color w:val="1B365D"/>
            <w:sz w:val="24"/>
            <w:szCs w:val="24"/>
          </w:rPr>
          <w:t>Better Care, Better Jobs Act</w:t>
        </w:r>
      </w:hyperlink>
      <w:r w:rsidRPr="007E739D">
        <w:rPr>
          <w:rFonts w:ascii="Arial" w:eastAsia="Times New Roman" w:hAnsi="Arial" w:cs="Arial"/>
          <w:color w:val="202020"/>
          <w:sz w:val="24"/>
          <w:szCs w:val="24"/>
        </w:rPr>
        <w:t> - S.100 - A bill to amend the Social Security Act to expand access to home and community-based services (HCBS) under Medicaid, and for other purposes.</w:t>
      </w:r>
    </w:p>
    <w:p w14:paraId="19762B58" w14:textId="77777777"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hyperlink r:id="rId20" w:tgtFrame="_blank" w:history="1">
        <w:r w:rsidRPr="007E739D">
          <w:rPr>
            <w:rStyle w:val="Hyperlink"/>
            <w:rFonts w:ascii="Arial" w:eastAsia="Times New Roman" w:hAnsi="Arial" w:cs="Arial"/>
            <w:color w:val="1B365D"/>
            <w:sz w:val="24"/>
            <w:szCs w:val="24"/>
          </w:rPr>
          <w:t>Home and Community Based Services (HCBS) Access Act</w:t>
        </w:r>
      </w:hyperlink>
      <w:r w:rsidRPr="007E739D">
        <w:rPr>
          <w:rFonts w:ascii="Arial" w:eastAsia="Times New Roman" w:hAnsi="Arial" w:cs="Arial"/>
          <w:color w:val="202020"/>
          <w:sz w:val="24"/>
          <w:szCs w:val="24"/>
        </w:rPr>
        <w:t> - This bill would, over time, eliminate HCBS waiting lists and the need for states to repeatedly apply for HCBS waivers.</w:t>
      </w:r>
    </w:p>
    <w:p w14:paraId="65699FBD" w14:textId="5072BDCB"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hyperlink r:id="rId21" w:tgtFrame="_blank" w:history="1">
        <w:r w:rsidRPr="007E739D">
          <w:rPr>
            <w:rStyle w:val="Hyperlink"/>
            <w:rFonts w:ascii="Arial" w:eastAsia="Times New Roman" w:hAnsi="Arial" w:cs="Arial"/>
            <w:color w:val="1B365D"/>
            <w:sz w:val="24"/>
            <w:szCs w:val="24"/>
          </w:rPr>
          <w:t>Transformation to Competitive Integrated Employment Act</w:t>
        </w:r>
      </w:hyperlink>
      <w:r w:rsidRPr="007E739D">
        <w:rPr>
          <w:rFonts w:ascii="Arial" w:eastAsia="Times New Roman" w:hAnsi="Arial" w:cs="Arial"/>
          <w:color w:val="202020"/>
          <w:sz w:val="24"/>
          <w:szCs w:val="24"/>
        </w:rPr>
        <w:t xml:space="preserve"> - Phases out paying workers with disabilities subminimum wage. </w:t>
      </w:r>
    </w:p>
    <w:p w14:paraId="20220E86" w14:textId="77777777"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hyperlink r:id="rId22" w:tooltip="Air Carrier Access Amendments Act (S.545/H.R.1267)" w:history="1">
        <w:r w:rsidRPr="007E739D">
          <w:rPr>
            <w:rStyle w:val="Hyperlink"/>
            <w:rFonts w:ascii="Arial" w:eastAsia="Times New Roman" w:hAnsi="Arial" w:cs="Arial"/>
            <w:color w:val="1B365D"/>
            <w:sz w:val="24"/>
            <w:szCs w:val="24"/>
          </w:rPr>
          <w:t>Air Carrier Access Amendments Act </w:t>
        </w:r>
      </w:hyperlink>
      <w:r w:rsidRPr="007E739D">
        <w:rPr>
          <w:rFonts w:ascii="Arial" w:eastAsia="Times New Roman" w:hAnsi="Arial" w:cs="Arial"/>
          <w:color w:val="202020"/>
          <w:sz w:val="24"/>
          <w:szCs w:val="24"/>
        </w:rPr>
        <w:t>(S.545/H.R.1267). This bill improves the accessibility of air travel for people with disabilities by creating a private right of action for violations, requiring new airplanes to meet minimum accessibility standards, and requiring the removal of access barriers on existing planes where feasible.</w:t>
      </w:r>
    </w:p>
    <w:p w14:paraId="5593DDA1" w14:textId="77777777" w:rsidR="007E739D" w:rsidRPr="007E739D" w:rsidRDefault="007E739D" w:rsidP="007E739D">
      <w:pPr>
        <w:numPr>
          <w:ilvl w:val="0"/>
          <w:numId w:val="1"/>
        </w:numPr>
        <w:spacing w:line="360" w:lineRule="auto"/>
        <w:ind w:left="360"/>
        <w:rPr>
          <w:rFonts w:ascii="Arial" w:eastAsia="Times New Roman" w:hAnsi="Arial" w:cs="Arial"/>
          <w:color w:val="202020"/>
          <w:sz w:val="24"/>
          <w:szCs w:val="24"/>
        </w:rPr>
      </w:pPr>
      <w:hyperlink r:id="rId23" w:tgtFrame="_blank" w:history="1">
        <w:r w:rsidRPr="007E739D">
          <w:rPr>
            <w:rStyle w:val="Hyperlink"/>
            <w:rFonts w:ascii="Arial" w:eastAsia="Times New Roman" w:hAnsi="Arial" w:cs="Arial"/>
            <w:color w:val="1B365D"/>
            <w:sz w:val="24"/>
            <w:szCs w:val="24"/>
          </w:rPr>
          <w:t>Prioritizing Accountability and Accessibility for Aviation Consumers Act</w:t>
        </w:r>
      </w:hyperlink>
      <w:r w:rsidRPr="007E739D">
        <w:rPr>
          <w:rFonts w:ascii="Arial" w:eastAsia="Times New Roman" w:hAnsi="Arial" w:cs="Arial"/>
          <w:color w:val="202020"/>
          <w:sz w:val="24"/>
          <w:szCs w:val="24"/>
        </w:rPr>
        <w:t> - This bill aims to ensure that passengers with disabilities have up-to-date data on the Department of Transportation’s effectiveness in resolving disability-related complaints, ranging from untrained staff at the ticket counter to lost or damaged mobility aids to passenger injuries and more.</w:t>
      </w:r>
    </w:p>
    <w:p w14:paraId="24AA571C" w14:textId="77777777" w:rsidR="007E739D" w:rsidRPr="007E739D" w:rsidRDefault="007E739D" w:rsidP="007E739D">
      <w:pPr>
        <w:rPr>
          <w:rFonts w:ascii="Arial" w:eastAsia="Times New Roman" w:hAnsi="Arial" w:cs="Arial"/>
          <w:sz w:val="24"/>
          <w:szCs w:val="24"/>
        </w:rPr>
      </w:pPr>
    </w:p>
    <w:p w14:paraId="35DC9D0C" w14:textId="77777777" w:rsidR="007E739D" w:rsidRPr="007E739D" w:rsidRDefault="007E739D" w:rsidP="007E739D">
      <w:pPr>
        <w:rPr>
          <w:rFonts w:ascii="Arial" w:eastAsia="Times New Roman" w:hAnsi="Arial" w:cs="Arial"/>
          <w:sz w:val="24"/>
          <w:szCs w:val="24"/>
        </w:rPr>
      </w:pPr>
    </w:p>
    <w:p w14:paraId="61DF3AEB" w14:textId="77777777" w:rsidR="00BC7825" w:rsidRPr="007E739D" w:rsidRDefault="00E52CC3" w:rsidP="007E739D">
      <w:pPr>
        <w:rPr>
          <w:rFonts w:ascii="Arial" w:hAnsi="Arial" w:cs="Arial"/>
          <w:sz w:val="24"/>
          <w:szCs w:val="24"/>
        </w:rPr>
      </w:pPr>
    </w:p>
    <w:sectPr w:rsidR="00BC7825" w:rsidRPr="007E7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29CD"/>
    <w:multiLevelType w:val="multilevel"/>
    <w:tmpl w:val="8B081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73941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9D"/>
    <w:rsid w:val="00772CBC"/>
    <w:rsid w:val="007E739D"/>
    <w:rsid w:val="00C77003"/>
    <w:rsid w:val="00E5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2510"/>
  <w15:chartTrackingRefBased/>
  <w15:docId w15:val="{B36F3D06-2A0B-4579-8043-A4C2EF12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9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6.list-manage.com/track/click?u=c19758ec49388aade26feeccf&amp;id=ba8d4f22e0&amp;e=3e7a3b5c3e" TargetMode="External"/><Relationship Id="rId13" Type="http://schemas.openxmlformats.org/officeDocument/2006/relationships/hyperlink" Target="https://www.us6.list-manage.com/track/click?u=c19758ec49388aade26feeccf&amp;id=e511b5cfde&amp;e=3e7a3b5c3e" TargetMode="External"/><Relationship Id="rId18" Type="http://schemas.openxmlformats.org/officeDocument/2006/relationships/hyperlink" Target="https://www.us6.list-manage.com/track/click?u=c19758ec49388aade26feeccf&amp;id=6bee6efe8e&amp;e=3e7a3b5c3e" TargetMode="External"/><Relationship Id="rId3" Type="http://schemas.openxmlformats.org/officeDocument/2006/relationships/settings" Target="settings.xml"/><Relationship Id="rId21" Type="http://schemas.openxmlformats.org/officeDocument/2006/relationships/hyperlink" Target="https://www.us6.list-manage.com/track/click?u=c19758ec49388aade26feeccf&amp;id=a1e78b0a06&amp;e=3e7a3b5c3e" TargetMode="External"/><Relationship Id="rId7" Type="http://schemas.openxmlformats.org/officeDocument/2006/relationships/hyperlink" Target="https://www.us6.list-manage.com/track/click?u=c19758ec49388aade26feeccf&amp;id=342864a7d0&amp;e=3e7a3b5c3e" TargetMode="External"/><Relationship Id="rId12" Type="http://schemas.openxmlformats.org/officeDocument/2006/relationships/hyperlink" Target="https://www.us6.list-manage.com/track/click?u=c19758ec49388aade26feeccf&amp;id=9ef0762aed&amp;e=3e7a3b5c3e" TargetMode="External"/><Relationship Id="rId17" Type="http://schemas.openxmlformats.org/officeDocument/2006/relationships/hyperlink" Target="https://www.us6.list-manage.com/track/click?u=c19758ec49388aade26feeccf&amp;id=9a8b2090e3&amp;e=3e7a3b5c3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s6.list-manage.com/track/click?u=c19758ec49388aade26feeccf&amp;id=6ca808d658&amp;e=3e7a3b5c3e" TargetMode="External"/><Relationship Id="rId20" Type="http://schemas.openxmlformats.org/officeDocument/2006/relationships/hyperlink" Target="https://www.us6.list-manage.com/track/click?u=c19758ec49388aade26feeccf&amp;id=6c89df6e73&amp;e=3e7a3b5c3e" TargetMode="External"/><Relationship Id="rId1" Type="http://schemas.openxmlformats.org/officeDocument/2006/relationships/numbering" Target="numbering.xml"/><Relationship Id="rId6" Type="http://schemas.openxmlformats.org/officeDocument/2006/relationships/hyperlink" Target="https://www.us6.list-manage.com/track/click?u=c19758ec49388aade26feeccf&amp;id=24230b9f97&amp;e=3e7a3b5c3e" TargetMode="External"/><Relationship Id="rId11" Type="http://schemas.openxmlformats.org/officeDocument/2006/relationships/hyperlink" Target="https://www.us6.list-manage.com/track/click?u=c19758ec49388aade26feeccf&amp;id=ea642b3577&amp;e=3e7a3b5c3e" TargetMode="External"/><Relationship Id="rId24" Type="http://schemas.openxmlformats.org/officeDocument/2006/relationships/fontTable" Target="fontTable.xml"/><Relationship Id="rId5" Type="http://schemas.openxmlformats.org/officeDocument/2006/relationships/hyperlink" Target="https://www.us6.list-manage.com/track/click?u=c19758ec49388aade26feeccf&amp;id=8123b50c11&amp;e=3e7a3b5c3e" TargetMode="External"/><Relationship Id="rId15" Type="http://schemas.openxmlformats.org/officeDocument/2006/relationships/hyperlink" Target="https://www.us6.list-manage.com/track/click?u=c19758ec49388aade26feeccf&amp;id=b9df6f4c75&amp;e=3e7a3b5c3e" TargetMode="External"/><Relationship Id="rId23" Type="http://schemas.openxmlformats.org/officeDocument/2006/relationships/hyperlink" Target="https://www.us6.list-manage.com/track/click?u=c19758ec49388aade26feeccf&amp;id=68bcb8ffd5&amp;e=3e7a3b5c3e" TargetMode="External"/><Relationship Id="rId10" Type="http://schemas.openxmlformats.org/officeDocument/2006/relationships/hyperlink" Target="https://www.us6.list-manage.com/track/click?u=c19758ec49388aade26feeccf&amp;id=adb32965e3&amp;e=3e7a3b5c3e" TargetMode="External"/><Relationship Id="rId19" Type="http://schemas.openxmlformats.org/officeDocument/2006/relationships/hyperlink" Target="https://www.us6.list-manage.com/track/click?u=c19758ec49388aade26feeccf&amp;id=8429997c13&amp;e=3e7a3b5c3e" TargetMode="External"/><Relationship Id="rId4" Type="http://schemas.openxmlformats.org/officeDocument/2006/relationships/webSettings" Target="webSettings.xml"/><Relationship Id="rId9" Type="http://schemas.openxmlformats.org/officeDocument/2006/relationships/hyperlink" Target="https://www.us6.list-manage.com/track/click?u=c19758ec49388aade26feeccf&amp;id=28af4e00e4&amp;e=3e7a3b5c3e" TargetMode="External"/><Relationship Id="rId14" Type="http://schemas.openxmlformats.org/officeDocument/2006/relationships/hyperlink" Target="https://www.us6.list-manage.com/track/click?u=c19758ec49388aade26feeccf&amp;id=4fb0823fbd&amp;e=3e7a3b5c3e" TargetMode="External"/><Relationship Id="rId22" Type="http://schemas.openxmlformats.org/officeDocument/2006/relationships/hyperlink" Target="https://www.us6.list-manage.com/track/click?u=c19758ec49388aade26feeccf&amp;id=74e0a93a5a&amp;e=3e7a3b5c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Poncelet, Arlene</dc:creator>
  <cp:keywords/>
  <dc:description/>
  <cp:lastModifiedBy>Poncelet, Arlene</cp:lastModifiedBy>
  <cp:revision>1</cp:revision>
  <dcterms:created xsi:type="dcterms:W3CDTF">2023-04-11T16:28:00Z</dcterms:created>
  <dcterms:modified xsi:type="dcterms:W3CDTF">2023-04-11T20:30:00Z</dcterms:modified>
</cp:coreProperties>
</file>