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55DB" w14:textId="4CD48A39" w:rsidR="00CD75B4" w:rsidRPr="009E7DB6" w:rsidRDefault="00CD75B4" w:rsidP="00F00620">
      <w:pPr>
        <w:pStyle w:val="MinutesHeading"/>
        <w:ind w:firstLine="0"/>
        <w:rPr>
          <w:rFonts w:cs="Arial"/>
        </w:rPr>
      </w:pPr>
      <w:r w:rsidRPr="009E7DB6">
        <w:rPr>
          <w:rFonts w:cs="Arial"/>
        </w:rPr>
        <w:t>Minutes</w:t>
      </w:r>
    </w:p>
    <w:p w14:paraId="071C8D00" w14:textId="77777777" w:rsidR="00CD75B4" w:rsidRPr="009E7DB6" w:rsidRDefault="00CD75B4" w:rsidP="00F00620">
      <w:pPr>
        <w:pStyle w:val="MinutesHeading"/>
        <w:ind w:firstLine="0"/>
        <w:rPr>
          <w:rFonts w:cs="Arial"/>
        </w:rPr>
      </w:pPr>
      <w:r w:rsidRPr="009E7DB6">
        <w:rPr>
          <w:rFonts w:cs="Arial"/>
        </w:rPr>
        <w:t>south dakota housing development authority</w:t>
      </w:r>
    </w:p>
    <w:p w14:paraId="6D59F5B1" w14:textId="77777777" w:rsidR="00CD75B4" w:rsidRPr="009E7DB6" w:rsidRDefault="00CD75B4" w:rsidP="00F00620">
      <w:pPr>
        <w:pStyle w:val="MinutesHeading"/>
        <w:ind w:firstLine="0"/>
        <w:rPr>
          <w:rFonts w:cs="Arial"/>
        </w:rPr>
      </w:pPr>
      <w:r w:rsidRPr="009E7DB6">
        <w:rPr>
          <w:rFonts w:cs="Arial"/>
        </w:rPr>
        <w:t>board of commissioner’s meeting</w:t>
      </w:r>
    </w:p>
    <w:p w14:paraId="7962111E" w14:textId="62806D81" w:rsidR="00005124" w:rsidRPr="009E7DB6" w:rsidRDefault="00016CF3" w:rsidP="00F00620">
      <w:pPr>
        <w:pStyle w:val="MinutesHeading"/>
        <w:ind w:firstLine="0"/>
        <w:rPr>
          <w:rFonts w:cs="Arial"/>
        </w:rPr>
      </w:pPr>
      <w:r>
        <w:rPr>
          <w:rFonts w:cs="Arial"/>
        </w:rPr>
        <w:t>TELEPHONIC</w:t>
      </w:r>
    </w:p>
    <w:p w14:paraId="2F336616" w14:textId="0F86500C" w:rsidR="00CD75B4" w:rsidRPr="00A046AD" w:rsidRDefault="00016CF3" w:rsidP="00F00620">
      <w:pPr>
        <w:pStyle w:val="MinutesHeading"/>
        <w:ind w:firstLine="0"/>
        <w:rPr>
          <w:rFonts w:cs="Arial"/>
        </w:rPr>
      </w:pPr>
      <w:r>
        <w:rPr>
          <w:rFonts w:cs="Arial"/>
          <w:caps w:val="0"/>
        </w:rPr>
        <w:t>January</w:t>
      </w:r>
      <w:r w:rsidR="008170AD">
        <w:rPr>
          <w:rFonts w:cs="Arial"/>
          <w:caps w:val="0"/>
        </w:rPr>
        <w:t xml:space="preserve"> 1</w:t>
      </w:r>
      <w:r w:rsidR="006269D9">
        <w:rPr>
          <w:rFonts w:cs="Arial"/>
          <w:caps w:val="0"/>
        </w:rPr>
        <w:t>7</w:t>
      </w:r>
      <w:r w:rsidR="007B21CC" w:rsidRPr="009E7DB6">
        <w:rPr>
          <w:rFonts w:cs="Arial"/>
          <w:caps w:val="0"/>
        </w:rPr>
        <w:t>, 202</w:t>
      </w:r>
      <w:r>
        <w:rPr>
          <w:rFonts w:cs="Arial"/>
          <w:caps w:val="0"/>
        </w:rPr>
        <w:t>5</w:t>
      </w:r>
    </w:p>
    <w:p w14:paraId="61E02B4A" w14:textId="77777777" w:rsidR="00CD75B4" w:rsidRPr="00A046AD" w:rsidRDefault="00CD75B4" w:rsidP="008F21E6">
      <w:pPr>
        <w:pStyle w:val="NoSpacing"/>
        <w:rPr>
          <w:rFonts w:cs="Arial"/>
          <w:b/>
          <w:i/>
        </w:rPr>
      </w:pPr>
    </w:p>
    <w:p w14:paraId="011C75C9" w14:textId="0EEC8827" w:rsidR="00087EC4" w:rsidRPr="006D5905" w:rsidRDefault="00CD75B4" w:rsidP="003F6DB5">
      <w:pPr>
        <w:pStyle w:val="NoSpacing"/>
        <w:tabs>
          <w:tab w:val="left" w:pos="2880"/>
        </w:tabs>
        <w:ind w:firstLine="0"/>
        <w:rPr>
          <w:rFonts w:cs="Arial"/>
        </w:rPr>
      </w:pPr>
      <w:r w:rsidRPr="009E7DB6">
        <w:rPr>
          <w:rFonts w:cs="Arial"/>
          <w:b/>
        </w:rPr>
        <w:t>Board Members Present:</w:t>
      </w:r>
      <w:r w:rsidRPr="00A046AD">
        <w:rPr>
          <w:rFonts w:cs="Arial"/>
        </w:rPr>
        <w:tab/>
      </w:r>
      <w:r w:rsidR="00087EC4" w:rsidRPr="006D5905">
        <w:rPr>
          <w:rFonts w:cs="Arial"/>
        </w:rPr>
        <w:t>Scott Erickson, Chairman</w:t>
      </w:r>
    </w:p>
    <w:p w14:paraId="3BDF5080" w14:textId="77777777" w:rsidR="00087EC4" w:rsidRPr="006D5905" w:rsidRDefault="00087EC4" w:rsidP="00087EC4">
      <w:pPr>
        <w:pStyle w:val="NoSpacing"/>
        <w:tabs>
          <w:tab w:val="left" w:pos="2880"/>
        </w:tabs>
        <w:rPr>
          <w:rFonts w:cs="Arial"/>
        </w:rPr>
      </w:pPr>
      <w:r w:rsidRPr="006D5905">
        <w:rPr>
          <w:rFonts w:cs="Arial"/>
        </w:rPr>
        <w:tab/>
        <w:t>Preston Steele, Vice-Chairman</w:t>
      </w:r>
    </w:p>
    <w:p w14:paraId="41EF79E8" w14:textId="77777777" w:rsidR="00016CF3" w:rsidRPr="006D5905" w:rsidRDefault="00CA6DF9" w:rsidP="00016CF3">
      <w:pPr>
        <w:pStyle w:val="NoSpacing"/>
        <w:tabs>
          <w:tab w:val="left" w:pos="2880"/>
        </w:tabs>
        <w:ind w:firstLine="0"/>
        <w:rPr>
          <w:rFonts w:cs="Arial"/>
        </w:rPr>
      </w:pPr>
      <w:r>
        <w:rPr>
          <w:rFonts w:cs="Arial"/>
        </w:rPr>
        <w:tab/>
      </w:r>
      <w:r w:rsidR="00016CF3" w:rsidRPr="006D5905">
        <w:rPr>
          <w:rFonts w:cs="Arial"/>
        </w:rPr>
        <w:t>Alex Jensen</w:t>
      </w:r>
      <w:r w:rsidR="00016CF3">
        <w:rPr>
          <w:rFonts w:cs="Arial"/>
        </w:rPr>
        <w:t>, Treasurer</w:t>
      </w:r>
    </w:p>
    <w:p w14:paraId="6A7A87F0" w14:textId="72B29769" w:rsidR="00FF6945" w:rsidRDefault="006D1C8C" w:rsidP="00FF6945">
      <w:pPr>
        <w:pStyle w:val="NoSpacing"/>
        <w:tabs>
          <w:tab w:val="left" w:pos="2880"/>
        </w:tabs>
        <w:rPr>
          <w:rFonts w:cs="Arial"/>
        </w:rPr>
      </w:pPr>
      <w:r w:rsidRPr="006D5905">
        <w:rPr>
          <w:rFonts w:cs="Arial"/>
        </w:rPr>
        <w:tab/>
      </w:r>
      <w:r w:rsidR="00FF6945">
        <w:rPr>
          <w:rFonts w:cs="Arial"/>
        </w:rPr>
        <w:t>Mark Roby</w:t>
      </w:r>
      <w:r w:rsidR="00FF6945" w:rsidRPr="006D5905">
        <w:rPr>
          <w:rFonts w:cs="Arial"/>
        </w:rPr>
        <w:t xml:space="preserve">, </w:t>
      </w:r>
      <w:r w:rsidR="00FF6945">
        <w:rPr>
          <w:rFonts w:cs="Arial"/>
        </w:rPr>
        <w:t>Commissioner</w:t>
      </w:r>
    </w:p>
    <w:p w14:paraId="5493E431" w14:textId="77777777" w:rsidR="00FF6945" w:rsidRDefault="00FF6945" w:rsidP="00FF6945">
      <w:pPr>
        <w:pStyle w:val="NoSpacing"/>
        <w:tabs>
          <w:tab w:val="left" w:pos="2880"/>
        </w:tabs>
        <w:rPr>
          <w:rFonts w:cs="Arial"/>
        </w:rPr>
      </w:pPr>
    </w:p>
    <w:p w14:paraId="7C62D275" w14:textId="717FB4E6" w:rsidR="002353CE" w:rsidRDefault="00D961B8" w:rsidP="00FF6945">
      <w:pPr>
        <w:pStyle w:val="NoSpacing"/>
        <w:tabs>
          <w:tab w:val="left" w:pos="2880"/>
        </w:tabs>
        <w:ind w:firstLine="0"/>
        <w:rPr>
          <w:rFonts w:cs="Arial"/>
        </w:rPr>
      </w:pPr>
      <w:r w:rsidRPr="006D5905">
        <w:rPr>
          <w:rFonts w:cs="Arial"/>
          <w:b/>
        </w:rPr>
        <w:t>Board Members Absent:</w:t>
      </w:r>
      <w:r w:rsidRPr="006D5905">
        <w:rPr>
          <w:rFonts w:cs="Arial"/>
        </w:rPr>
        <w:tab/>
      </w:r>
      <w:r w:rsidR="00016CF3" w:rsidRPr="006D5905">
        <w:rPr>
          <w:rFonts w:cs="Arial"/>
        </w:rPr>
        <w:t xml:space="preserve">Bill Hansen, </w:t>
      </w:r>
      <w:r w:rsidR="00016CF3">
        <w:rPr>
          <w:rFonts w:cs="Arial"/>
        </w:rPr>
        <w:t>Commissioner</w:t>
      </w:r>
    </w:p>
    <w:p w14:paraId="74411DF5" w14:textId="77777777" w:rsidR="004826B6" w:rsidRPr="006D5905" w:rsidRDefault="004826B6" w:rsidP="004826B6">
      <w:pPr>
        <w:pStyle w:val="NoSpacing"/>
        <w:tabs>
          <w:tab w:val="left" w:pos="2880"/>
        </w:tabs>
        <w:rPr>
          <w:rFonts w:cs="Arial"/>
        </w:rPr>
      </w:pPr>
      <w:r>
        <w:rPr>
          <w:rFonts w:cs="Arial"/>
        </w:rPr>
        <w:tab/>
      </w:r>
      <w:r w:rsidRPr="006D5905">
        <w:rPr>
          <w:rFonts w:cs="Arial"/>
        </w:rPr>
        <w:t xml:space="preserve">Jonathan Guenthner, </w:t>
      </w:r>
      <w:r>
        <w:rPr>
          <w:rFonts w:cs="Arial"/>
        </w:rPr>
        <w:t>Commissioner</w:t>
      </w:r>
    </w:p>
    <w:p w14:paraId="4D4657D3" w14:textId="01272C48" w:rsidR="004826B6" w:rsidRPr="006D5905" w:rsidRDefault="004826B6" w:rsidP="004826B6">
      <w:pPr>
        <w:pStyle w:val="NoSpacing"/>
        <w:tabs>
          <w:tab w:val="left" w:pos="2880"/>
        </w:tabs>
        <w:ind w:firstLine="0"/>
        <w:rPr>
          <w:rFonts w:cs="Arial"/>
        </w:rPr>
      </w:pPr>
      <w:r w:rsidRPr="006D5905">
        <w:rPr>
          <w:rFonts w:cs="Arial"/>
        </w:rPr>
        <w:tab/>
        <w:t>Rick Hohn, Commissioner</w:t>
      </w:r>
    </w:p>
    <w:p w14:paraId="2CB19171" w14:textId="7630CB96" w:rsidR="00D54F72" w:rsidRPr="006D5905" w:rsidRDefault="00D54F72" w:rsidP="008F21E6">
      <w:pPr>
        <w:pStyle w:val="NoSpacing"/>
        <w:tabs>
          <w:tab w:val="left" w:pos="2880"/>
        </w:tabs>
        <w:rPr>
          <w:rFonts w:cs="Arial"/>
        </w:rPr>
      </w:pPr>
    </w:p>
    <w:p w14:paraId="4AF450C5" w14:textId="77777777" w:rsidR="00C17158" w:rsidRDefault="00D961B8" w:rsidP="00BD4AF2">
      <w:pPr>
        <w:pStyle w:val="NoSpacing"/>
        <w:tabs>
          <w:tab w:val="left" w:pos="2880"/>
        </w:tabs>
        <w:ind w:firstLine="0"/>
        <w:jc w:val="left"/>
        <w:rPr>
          <w:rFonts w:cs="Arial"/>
        </w:rPr>
      </w:pPr>
      <w:r w:rsidRPr="006D5905">
        <w:rPr>
          <w:rFonts w:cs="Arial"/>
          <w:b/>
        </w:rPr>
        <w:t>Staff Present:</w:t>
      </w:r>
      <w:r w:rsidR="00C17158">
        <w:rPr>
          <w:rFonts w:cs="Arial"/>
          <w:b/>
        </w:rPr>
        <w:tab/>
      </w:r>
      <w:r w:rsidR="00C57702" w:rsidRPr="006D5905">
        <w:rPr>
          <w:rFonts w:cs="Arial"/>
        </w:rPr>
        <w:t>Chas Olson, Executive Directo</w:t>
      </w:r>
      <w:r w:rsidR="00C17158">
        <w:rPr>
          <w:rFonts w:cs="Arial"/>
        </w:rPr>
        <w:t>r</w:t>
      </w:r>
    </w:p>
    <w:p w14:paraId="35F0EFDA" w14:textId="0A92AFCF" w:rsidR="00C17158" w:rsidRDefault="00C17158" w:rsidP="00EF53C4">
      <w:pPr>
        <w:pStyle w:val="NoSpacing"/>
        <w:tabs>
          <w:tab w:val="left" w:pos="2880"/>
        </w:tabs>
        <w:ind w:left="2970" w:hanging="2970"/>
        <w:jc w:val="left"/>
        <w:rPr>
          <w:rFonts w:cs="Arial"/>
        </w:rPr>
      </w:pPr>
      <w:r>
        <w:rPr>
          <w:rFonts w:cs="Arial"/>
        </w:rPr>
        <w:tab/>
      </w:r>
      <w:r w:rsidR="00FF6945" w:rsidRPr="006D5905">
        <w:rPr>
          <w:rFonts w:cs="Arial"/>
        </w:rPr>
        <w:t>Amanda Weisgram, Director of Marketing and Research</w:t>
      </w:r>
    </w:p>
    <w:p w14:paraId="4BB26E92" w14:textId="772E4BD1" w:rsidR="00C57702" w:rsidRPr="006D5905" w:rsidRDefault="00C17158" w:rsidP="00EF53C4">
      <w:pPr>
        <w:pStyle w:val="NoSpacing"/>
        <w:tabs>
          <w:tab w:val="left" w:pos="2880"/>
        </w:tabs>
        <w:ind w:left="2970" w:hanging="2970"/>
        <w:jc w:val="left"/>
        <w:rPr>
          <w:rFonts w:cs="Arial"/>
        </w:rPr>
      </w:pPr>
      <w:r>
        <w:rPr>
          <w:rFonts w:cs="Arial"/>
        </w:rPr>
        <w:tab/>
      </w:r>
      <w:r w:rsidR="00C57702" w:rsidRPr="006D5905">
        <w:rPr>
          <w:rFonts w:cs="Arial"/>
        </w:rPr>
        <w:t>Todd Hight, Director of Finance and Administration</w:t>
      </w:r>
    </w:p>
    <w:p w14:paraId="1748C39D" w14:textId="73389789" w:rsidR="00C57702" w:rsidRDefault="00BD3ADB" w:rsidP="00EF53C4">
      <w:pPr>
        <w:pStyle w:val="NoSpacing"/>
        <w:tabs>
          <w:tab w:val="left" w:pos="2880"/>
        </w:tabs>
        <w:jc w:val="left"/>
        <w:rPr>
          <w:rFonts w:cs="Arial"/>
        </w:rPr>
      </w:pPr>
      <w:r w:rsidRPr="006D5905">
        <w:rPr>
          <w:rFonts w:cs="Arial"/>
        </w:rPr>
        <w:tab/>
      </w:r>
      <w:r w:rsidR="00C57702" w:rsidRPr="006D5905">
        <w:rPr>
          <w:rFonts w:cs="Arial"/>
        </w:rPr>
        <w:t>Tasha Jones, Director of Rental Housing Management</w:t>
      </w:r>
    </w:p>
    <w:p w14:paraId="44FF65BF" w14:textId="28F9E03C" w:rsidR="00D049F2" w:rsidRPr="006D5905" w:rsidRDefault="00D049F2" w:rsidP="00EF53C4">
      <w:pPr>
        <w:pStyle w:val="NoSpacing"/>
        <w:tabs>
          <w:tab w:val="left" w:pos="2880"/>
        </w:tabs>
        <w:jc w:val="left"/>
        <w:rPr>
          <w:rFonts w:cs="Arial"/>
        </w:rPr>
      </w:pPr>
      <w:r>
        <w:rPr>
          <w:rFonts w:cs="Arial"/>
        </w:rPr>
        <w:tab/>
        <w:t xml:space="preserve">Mike Harsma, Director of </w:t>
      </w:r>
      <w:proofErr w:type="gramStart"/>
      <w:r>
        <w:rPr>
          <w:rFonts w:cs="Arial"/>
        </w:rPr>
        <w:t>Single Family</w:t>
      </w:r>
      <w:proofErr w:type="gramEnd"/>
      <w:r>
        <w:rPr>
          <w:rFonts w:cs="Arial"/>
        </w:rPr>
        <w:t xml:space="preserve"> Development</w:t>
      </w:r>
    </w:p>
    <w:p w14:paraId="287F9B3B" w14:textId="0847FE24" w:rsidR="00854F91" w:rsidRDefault="00BD3ADB" w:rsidP="00EF53C4">
      <w:pPr>
        <w:pStyle w:val="NoSpacing"/>
        <w:tabs>
          <w:tab w:val="left" w:pos="2880"/>
        </w:tabs>
        <w:jc w:val="left"/>
        <w:rPr>
          <w:rFonts w:cs="Arial"/>
        </w:rPr>
      </w:pPr>
      <w:r w:rsidRPr="006D5905">
        <w:rPr>
          <w:rFonts w:cs="Arial"/>
        </w:rPr>
        <w:tab/>
      </w:r>
      <w:r w:rsidR="00854F91" w:rsidRPr="006D5905">
        <w:rPr>
          <w:rFonts w:cs="Arial"/>
        </w:rPr>
        <w:t>Michele Bodurtha, Executive/Development Assistant</w:t>
      </w:r>
    </w:p>
    <w:p w14:paraId="561FF333" w14:textId="57498F3B" w:rsidR="00C57702" w:rsidRPr="006D5905" w:rsidRDefault="00C57702" w:rsidP="00EF53C4">
      <w:pPr>
        <w:pStyle w:val="NoSpacing"/>
        <w:tabs>
          <w:tab w:val="left" w:pos="2880"/>
        </w:tabs>
        <w:jc w:val="left"/>
        <w:rPr>
          <w:rFonts w:cs="Arial"/>
        </w:rPr>
      </w:pPr>
      <w:r w:rsidRPr="006D5905">
        <w:rPr>
          <w:rFonts w:cs="Arial"/>
        </w:rPr>
        <w:tab/>
        <w:t>Beverly Katz, Housing Infrastructure Officer</w:t>
      </w:r>
      <w:r w:rsidR="0089051D" w:rsidRPr="006D5905">
        <w:rPr>
          <w:rFonts w:cs="Arial"/>
        </w:rPr>
        <w:t xml:space="preserve"> </w:t>
      </w:r>
    </w:p>
    <w:p w14:paraId="3E3A9C69" w14:textId="52531FC0" w:rsidR="00554342" w:rsidRDefault="00C17158" w:rsidP="00EF53C4">
      <w:pPr>
        <w:pStyle w:val="NoSpacing"/>
        <w:tabs>
          <w:tab w:val="left" w:pos="2880"/>
        </w:tabs>
        <w:jc w:val="left"/>
        <w:rPr>
          <w:rFonts w:cs="Arial"/>
        </w:rPr>
      </w:pPr>
      <w:r>
        <w:rPr>
          <w:rFonts w:cs="Arial"/>
        </w:rPr>
        <w:tab/>
      </w:r>
      <w:r w:rsidR="00554342" w:rsidRPr="006D5905">
        <w:rPr>
          <w:rFonts w:cs="Arial"/>
        </w:rPr>
        <w:t>Rebecca Whidby, Housing Development Officer</w:t>
      </w:r>
    </w:p>
    <w:p w14:paraId="391947FF" w14:textId="5F12DF41" w:rsidR="00CE51F7" w:rsidRDefault="008170AD" w:rsidP="00EF53C4">
      <w:pPr>
        <w:pStyle w:val="NoSpacing"/>
        <w:tabs>
          <w:tab w:val="left" w:pos="2880"/>
        </w:tabs>
        <w:jc w:val="left"/>
        <w:rPr>
          <w:rFonts w:cs="Arial"/>
        </w:rPr>
      </w:pPr>
      <w:r>
        <w:rPr>
          <w:rFonts w:cs="Arial"/>
        </w:rPr>
        <w:tab/>
      </w:r>
      <w:r w:rsidR="00CE51F7">
        <w:rPr>
          <w:rFonts w:cs="Arial"/>
        </w:rPr>
        <w:tab/>
      </w:r>
    </w:p>
    <w:p w14:paraId="4ECD53CE" w14:textId="2B52C1F4" w:rsidR="008F601B" w:rsidRPr="006D5905" w:rsidRDefault="00D961B8" w:rsidP="00EF53C4">
      <w:pPr>
        <w:tabs>
          <w:tab w:val="left" w:pos="2880"/>
        </w:tabs>
        <w:spacing w:line="240" w:lineRule="auto"/>
        <w:ind w:left="2880" w:hanging="2880"/>
        <w:rPr>
          <w:rFonts w:cs="Arial"/>
        </w:rPr>
      </w:pPr>
      <w:r w:rsidRPr="006D5905">
        <w:rPr>
          <w:rFonts w:cs="Arial"/>
          <w:b/>
        </w:rPr>
        <w:t>Guests Present:</w:t>
      </w:r>
      <w:bookmarkStart w:id="0" w:name="_Hlk156547436"/>
      <w:bookmarkStart w:id="1" w:name="_Hlk161220040"/>
      <w:bookmarkStart w:id="2" w:name="_Hlk159316823"/>
      <w:r w:rsidR="008F601B" w:rsidRPr="006D5905">
        <w:rPr>
          <w:rFonts w:cs="Arial"/>
        </w:rPr>
        <w:tab/>
      </w:r>
      <w:r w:rsidR="008E51A3" w:rsidRPr="006D5905">
        <w:rPr>
          <w:rFonts w:cs="Arial"/>
        </w:rPr>
        <w:t>D</w:t>
      </w:r>
      <w:r w:rsidR="00925CC5" w:rsidRPr="006D5905">
        <w:rPr>
          <w:rFonts w:cs="Arial"/>
        </w:rPr>
        <w:t>ixie Hieb, Davenport, Evans, Hurwitz &amp; Smith, Counsel to SD Housing</w:t>
      </w:r>
    </w:p>
    <w:p w14:paraId="3B7965B9" w14:textId="4748D88C" w:rsidR="00695578" w:rsidRDefault="003C6AFA" w:rsidP="00EF53C4">
      <w:pPr>
        <w:tabs>
          <w:tab w:val="left" w:pos="2880"/>
        </w:tabs>
        <w:spacing w:line="240" w:lineRule="auto"/>
        <w:ind w:left="2970" w:hanging="3060"/>
        <w:rPr>
          <w:rFonts w:cs="Arial"/>
        </w:rPr>
      </w:pPr>
      <w:r w:rsidRPr="006D5905">
        <w:rPr>
          <w:rFonts w:cs="Arial"/>
        </w:rPr>
        <w:tab/>
      </w:r>
      <w:bookmarkStart w:id="3" w:name="_Hlk156547490"/>
      <w:bookmarkStart w:id="4" w:name="_Hlk184983842"/>
      <w:bookmarkEnd w:id="0"/>
    </w:p>
    <w:bookmarkEnd w:id="1"/>
    <w:bookmarkEnd w:id="2"/>
    <w:bookmarkEnd w:id="3"/>
    <w:bookmarkEnd w:id="4"/>
    <w:p w14:paraId="156A11D0" w14:textId="77777777" w:rsidR="00DC3B9D" w:rsidRPr="00BD4AF2" w:rsidRDefault="00DC3B9D" w:rsidP="008F21E6">
      <w:pPr>
        <w:pStyle w:val="Heading1"/>
        <w:spacing w:before="0" w:line="240" w:lineRule="auto"/>
        <w:rPr>
          <w:rFonts w:cs="Arial"/>
          <w:iCs/>
          <w:szCs w:val="22"/>
        </w:rPr>
      </w:pPr>
      <w:r w:rsidRPr="00BD4AF2">
        <w:rPr>
          <w:rFonts w:cs="Arial"/>
          <w:iCs/>
          <w:szCs w:val="22"/>
        </w:rPr>
        <w:t>call to ordeR/CONFLICTS OF INTEREST</w:t>
      </w:r>
    </w:p>
    <w:p w14:paraId="213A0872" w14:textId="77777777" w:rsidR="00DC3B9D" w:rsidRPr="00A046AD" w:rsidRDefault="00DC3B9D" w:rsidP="008F21E6">
      <w:pPr>
        <w:spacing w:line="240" w:lineRule="auto"/>
        <w:rPr>
          <w:rFonts w:cs="Arial"/>
        </w:rPr>
      </w:pPr>
    </w:p>
    <w:p w14:paraId="478D87F9" w14:textId="53CEFC68" w:rsidR="00DC3B9D" w:rsidRDefault="00DB6793" w:rsidP="00CB62A2">
      <w:pPr>
        <w:tabs>
          <w:tab w:val="left" w:pos="720"/>
        </w:tabs>
        <w:autoSpaceDE w:val="0"/>
        <w:autoSpaceDN w:val="0"/>
        <w:adjustRightInd w:val="0"/>
        <w:spacing w:line="240" w:lineRule="auto"/>
        <w:ind w:left="720" w:firstLine="0"/>
        <w:rPr>
          <w:rFonts w:cs="Arial"/>
        </w:rPr>
      </w:pPr>
      <w:r w:rsidRPr="00A046AD">
        <w:rPr>
          <w:rFonts w:cs="Arial"/>
        </w:rPr>
        <w:t xml:space="preserve">The meeting was called to order at </w:t>
      </w:r>
      <w:r w:rsidR="00D049F2">
        <w:rPr>
          <w:rFonts w:cs="Arial"/>
        </w:rPr>
        <w:t>2</w:t>
      </w:r>
      <w:r w:rsidR="00E56723">
        <w:rPr>
          <w:rFonts w:cs="Arial"/>
        </w:rPr>
        <w:t>:0</w:t>
      </w:r>
      <w:r w:rsidR="002353CE">
        <w:rPr>
          <w:rFonts w:cs="Arial"/>
        </w:rPr>
        <w:t>0</w:t>
      </w:r>
      <w:r w:rsidR="00E56723">
        <w:rPr>
          <w:rFonts w:cs="Arial"/>
        </w:rPr>
        <w:t xml:space="preserve"> </w:t>
      </w:r>
      <w:r w:rsidR="00D049F2">
        <w:rPr>
          <w:rFonts w:cs="Arial"/>
        </w:rPr>
        <w:t>p</w:t>
      </w:r>
      <w:r w:rsidRPr="00A046AD">
        <w:rPr>
          <w:rFonts w:cs="Arial"/>
        </w:rPr>
        <w:t xml:space="preserve">.m. and roll was called. Chairman </w:t>
      </w:r>
      <w:r w:rsidR="00C44A7A">
        <w:rPr>
          <w:rFonts w:cs="Arial"/>
        </w:rPr>
        <w:t>Erickson</w:t>
      </w:r>
      <w:r w:rsidR="00725462" w:rsidRPr="00A046AD">
        <w:rPr>
          <w:rFonts w:cs="Arial"/>
        </w:rPr>
        <w:t xml:space="preserve"> </w:t>
      </w:r>
      <w:r w:rsidRPr="00A046AD">
        <w:rPr>
          <w:rFonts w:cs="Arial"/>
        </w:rPr>
        <w:t xml:space="preserve">called for conflicts of </w:t>
      </w:r>
      <w:r w:rsidR="00F00620" w:rsidRPr="00A046AD">
        <w:rPr>
          <w:rFonts w:cs="Arial"/>
        </w:rPr>
        <w:t>interest,</w:t>
      </w:r>
      <w:r w:rsidR="00D94182">
        <w:rPr>
          <w:rFonts w:cs="Arial"/>
        </w:rPr>
        <w:t xml:space="preserve"> and none were noted.</w:t>
      </w:r>
    </w:p>
    <w:p w14:paraId="151BD029" w14:textId="77777777" w:rsidR="002259DF" w:rsidRPr="00A046AD" w:rsidRDefault="002259DF" w:rsidP="001A2E25">
      <w:pPr>
        <w:tabs>
          <w:tab w:val="left" w:pos="720"/>
          <w:tab w:val="left" w:pos="1440"/>
        </w:tabs>
        <w:autoSpaceDE w:val="0"/>
        <w:autoSpaceDN w:val="0"/>
        <w:adjustRightInd w:val="0"/>
        <w:spacing w:line="240" w:lineRule="auto"/>
        <w:rPr>
          <w:rFonts w:cs="Arial"/>
        </w:rPr>
      </w:pPr>
    </w:p>
    <w:p w14:paraId="1BA63E11" w14:textId="77777777" w:rsidR="00DC3B9D" w:rsidRPr="00BD4AF2" w:rsidRDefault="00DC3B9D" w:rsidP="009B46DD">
      <w:pPr>
        <w:pStyle w:val="Heading1"/>
        <w:tabs>
          <w:tab w:val="left" w:pos="720"/>
          <w:tab w:val="left" w:pos="810"/>
        </w:tabs>
        <w:spacing w:before="0" w:line="240" w:lineRule="auto"/>
        <w:rPr>
          <w:rFonts w:cs="Arial"/>
          <w:iCs/>
          <w:szCs w:val="22"/>
        </w:rPr>
      </w:pPr>
      <w:r w:rsidRPr="00BD4AF2">
        <w:rPr>
          <w:rFonts w:cs="Arial"/>
          <w:iCs/>
          <w:szCs w:val="22"/>
        </w:rPr>
        <w:t>PUBLIC COMMENT</w:t>
      </w:r>
    </w:p>
    <w:p w14:paraId="53A7C726" w14:textId="77777777" w:rsidR="00DC3B9D" w:rsidRPr="00A046AD" w:rsidRDefault="00DC3B9D" w:rsidP="009B46DD">
      <w:pPr>
        <w:tabs>
          <w:tab w:val="left" w:pos="720"/>
          <w:tab w:val="left" w:pos="810"/>
        </w:tabs>
        <w:spacing w:line="240" w:lineRule="auto"/>
        <w:rPr>
          <w:rFonts w:cs="Arial"/>
        </w:rPr>
      </w:pPr>
    </w:p>
    <w:p w14:paraId="668FE6C0" w14:textId="77777777" w:rsidR="00DC3B9D" w:rsidRDefault="00DC3B9D" w:rsidP="00F14539">
      <w:pPr>
        <w:tabs>
          <w:tab w:val="left" w:pos="720"/>
          <w:tab w:val="left" w:pos="810"/>
        </w:tabs>
        <w:spacing w:line="240" w:lineRule="auto"/>
        <w:rPr>
          <w:rFonts w:cs="Arial"/>
        </w:rPr>
      </w:pPr>
      <w:r w:rsidRPr="00A046AD">
        <w:rPr>
          <w:rFonts w:cs="Arial"/>
        </w:rPr>
        <w:t>None.</w:t>
      </w:r>
    </w:p>
    <w:p w14:paraId="2C9B48C5" w14:textId="77777777" w:rsidR="008170AD" w:rsidRPr="00A046AD" w:rsidRDefault="008170AD" w:rsidP="00F14539">
      <w:pPr>
        <w:tabs>
          <w:tab w:val="left" w:pos="720"/>
          <w:tab w:val="left" w:pos="810"/>
        </w:tabs>
        <w:spacing w:line="240" w:lineRule="auto"/>
        <w:rPr>
          <w:rFonts w:cs="Arial"/>
        </w:rPr>
      </w:pPr>
    </w:p>
    <w:p w14:paraId="092F08A6" w14:textId="77777777" w:rsidR="00DC3B9D" w:rsidRPr="009E7DB6" w:rsidRDefault="00DC3B9D" w:rsidP="009B46DD">
      <w:pPr>
        <w:pStyle w:val="Heading1"/>
        <w:tabs>
          <w:tab w:val="left" w:pos="720"/>
          <w:tab w:val="left" w:pos="810"/>
        </w:tabs>
        <w:spacing w:before="0" w:line="240" w:lineRule="auto"/>
        <w:rPr>
          <w:rFonts w:cs="Arial"/>
          <w:i w:val="0"/>
          <w:szCs w:val="22"/>
        </w:rPr>
      </w:pPr>
      <w:r w:rsidRPr="009E7DB6">
        <w:rPr>
          <w:rFonts w:cs="Arial"/>
          <w:i w:val="0"/>
          <w:szCs w:val="22"/>
        </w:rPr>
        <w:t>approval of agenda</w:t>
      </w:r>
    </w:p>
    <w:p w14:paraId="6C6B6FA4" w14:textId="77777777" w:rsidR="00DC3B9D" w:rsidRPr="00A046AD" w:rsidRDefault="00DC3B9D" w:rsidP="009B46DD">
      <w:pPr>
        <w:tabs>
          <w:tab w:val="left" w:pos="720"/>
          <w:tab w:val="left" w:pos="810"/>
        </w:tabs>
        <w:spacing w:line="240" w:lineRule="auto"/>
        <w:rPr>
          <w:rFonts w:cs="Arial"/>
        </w:rPr>
      </w:pPr>
    </w:p>
    <w:p w14:paraId="70A6CE47" w14:textId="5BB3A77B" w:rsidR="00DC3B9D" w:rsidRPr="001A2E25" w:rsidRDefault="00057985" w:rsidP="00E5489B">
      <w:pPr>
        <w:tabs>
          <w:tab w:val="left" w:pos="720"/>
          <w:tab w:val="left" w:pos="810"/>
        </w:tabs>
        <w:spacing w:line="240" w:lineRule="auto"/>
        <w:ind w:left="720" w:firstLine="0"/>
        <w:rPr>
          <w:rFonts w:cs="Arial"/>
        </w:rPr>
      </w:pPr>
      <w:r>
        <w:rPr>
          <w:rFonts w:cs="Arial"/>
        </w:rPr>
        <w:t>It</w:t>
      </w:r>
      <w:r w:rsidR="00ED2D19" w:rsidRPr="00E70900">
        <w:rPr>
          <w:rFonts w:cs="Arial"/>
        </w:rPr>
        <w:t xml:space="preserve"> was</w:t>
      </w:r>
      <w:r w:rsidR="00E8364F">
        <w:rPr>
          <w:rFonts w:cs="Arial"/>
        </w:rPr>
        <w:t xml:space="preserve"> </w:t>
      </w:r>
      <w:r w:rsidR="005371A1" w:rsidRPr="005371A1">
        <w:rPr>
          <w:rFonts w:cs="Arial"/>
        </w:rPr>
        <w:t xml:space="preserve">moved by Commissioner </w:t>
      </w:r>
      <w:r w:rsidR="009B1787">
        <w:rPr>
          <w:rFonts w:cs="Arial"/>
        </w:rPr>
        <w:t>Jensen</w:t>
      </w:r>
      <w:r w:rsidR="005371A1" w:rsidRPr="005371A1">
        <w:rPr>
          <w:rFonts w:cs="Arial"/>
        </w:rPr>
        <w:t xml:space="preserve"> and seconded by</w:t>
      </w:r>
      <w:r>
        <w:rPr>
          <w:rFonts w:cs="Arial"/>
        </w:rPr>
        <w:t xml:space="preserve"> </w:t>
      </w:r>
      <w:r w:rsidR="005371A1" w:rsidRPr="005371A1">
        <w:rPr>
          <w:rFonts w:cs="Arial"/>
        </w:rPr>
        <w:t xml:space="preserve">Commissioner </w:t>
      </w:r>
      <w:r w:rsidR="00EB73F3">
        <w:rPr>
          <w:rFonts w:cs="Arial"/>
        </w:rPr>
        <w:t>Roby</w:t>
      </w:r>
      <w:r w:rsidR="005371A1" w:rsidRPr="005371A1">
        <w:rPr>
          <w:rFonts w:cs="Arial"/>
        </w:rPr>
        <w:t xml:space="preserve"> that the </w:t>
      </w:r>
      <w:r w:rsidR="00D872EC">
        <w:rPr>
          <w:rFonts w:cs="Arial"/>
        </w:rPr>
        <w:t>a</w:t>
      </w:r>
      <w:r w:rsidR="005371A1" w:rsidRPr="005371A1">
        <w:rPr>
          <w:rFonts w:cs="Arial"/>
        </w:rPr>
        <w:t xml:space="preserve">genda be adopted as </w:t>
      </w:r>
      <w:r w:rsidR="00451D5B">
        <w:rPr>
          <w:rFonts w:cs="Arial"/>
        </w:rPr>
        <w:t>presented</w:t>
      </w:r>
      <w:r w:rsidR="005371A1" w:rsidRPr="005371A1">
        <w:rPr>
          <w:rFonts w:cs="Arial"/>
        </w:rPr>
        <w:t xml:space="preserve">, </w:t>
      </w:r>
      <w:r w:rsidR="00D872EC">
        <w:rPr>
          <w:rFonts w:cs="Arial"/>
        </w:rPr>
        <w:t>r</w:t>
      </w:r>
      <w:r w:rsidR="005371A1" w:rsidRPr="005371A1">
        <w:rPr>
          <w:rFonts w:cs="Arial"/>
        </w:rPr>
        <w:t>eserving the right to make further changes during the meeting</w:t>
      </w:r>
      <w:r w:rsidR="005371A1" w:rsidRPr="001A2E25">
        <w:rPr>
          <w:rFonts w:cs="Arial"/>
        </w:rPr>
        <w:t>.</w:t>
      </w:r>
    </w:p>
    <w:p w14:paraId="4A44629E" w14:textId="77777777" w:rsidR="00DC3B9D" w:rsidRPr="00A046AD" w:rsidRDefault="00DC3B9D" w:rsidP="008F21E6">
      <w:pPr>
        <w:spacing w:line="240" w:lineRule="auto"/>
        <w:ind w:left="720"/>
        <w:rPr>
          <w:rFonts w:cs="Arial"/>
        </w:rPr>
      </w:pPr>
    </w:p>
    <w:p w14:paraId="3C8825BC" w14:textId="2EE0E267" w:rsidR="00DC3B9D" w:rsidRPr="00A046AD" w:rsidRDefault="00CE24F5" w:rsidP="00E5489B">
      <w:pPr>
        <w:pStyle w:val="NoSpacing"/>
        <w:rPr>
          <w:rFonts w:cs="Arial"/>
        </w:rPr>
      </w:pPr>
      <w:r>
        <w:rPr>
          <w:rFonts w:cs="Arial"/>
        </w:rPr>
        <w:t xml:space="preserve">Motion passed by </w:t>
      </w:r>
      <w:r w:rsidR="00B31935">
        <w:rPr>
          <w:rFonts w:cs="Arial"/>
        </w:rPr>
        <w:t xml:space="preserve">a </w:t>
      </w:r>
      <w:r>
        <w:rPr>
          <w:rFonts w:cs="Arial"/>
        </w:rPr>
        <w:t>voice vote</w:t>
      </w:r>
      <w:r w:rsidR="008456A0">
        <w:rPr>
          <w:rFonts w:cs="Arial"/>
        </w:rPr>
        <w:t>.</w:t>
      </w:r>
    </w:p>
    <w:p w14:paraId="4E1C6B12" w14:textId="77777777" w:rsidR="00DC3B9D" w:rsidRPr="00A046AD" w:rsidRDefault="00DC3B9D" w:rsidP="008F21E6">
      <w:pPr>
        <w:pStyle w:val="NoSpacing"/>
        <w:ind w:left="720"/>
        <w:rPr>
          <w:rFonts w:cs="Arial"/>
        </w:rPr>
      </w:pPr>
    </w:p>
    <w:p w14:paraId="33448036" w14:textId="77777777" w:rsidR="00DC3B9D" w:rsidRPr="009E7DB6" w:rsidRDefault="00DC3B9D" w:rsidP="008F21E6">
      <w:pPr>
        <w:pStyle w:val="Heading1"/>
        <w:spacing w:before="0" w:line="240" w:lineRule="auto"/>
        <w:rPr>
          <w:rFonts w:cs="Arial"/>
          <w:i w:val="0"/>
          <w:szCs w:val="22"/>
        </w:rPr>
      </w:pPr>
      <w:r w:rsidRPr="009E7DB6">
        <w:rPr>
          <w:rFonts w:cs="Arial"/>
          <w:i w:val="0"/>
          <w:szCs w:val="22"/>
        </w:rPr>
        <w:t>approval of Minutes</w:t>
      </w:r>
    </w:p>
    <w:p w14:paraId="65F755F5" w14:textId="77777777" w:rsidR="00DC3B9D" w:rsidRPr="00A046AD" w:rsidRDefault="00DC3B9D" w:rsidP="003F6DB5">
      <w:pPr>
        <w:spacing w:line="240" w:lineRule="auto"/>
        <w:ind w:left="1440" w:firstLine="0"/>
        <w:rPr>
          <w:rFonts w:cs="Arial"/>
        </w:rPr>
      </w:pPr>
    </w:p>
    <w:p w14:paraId="5CA976A3" w14:textId="5D75DDF3" w:rsidR="00DC3B9D" w:rsidRPr="00A046AD" w:rsidRDefault="00DC3B9D" w:rsidP="00E5489B">
      <w:pPr>
        <w:spacing w:line="240" w:lineRule="auto"/>
        <w:ind w:left="720" w:firstLine="0"/>
        <w:rPr>
          <w:rFonts w:cs="Arial"/>
        </w:rPr>
      </w:pPr>
      <w:r w:rsidRPr="00A046AD">
        <w:rPr>
          <w:rFonts w:cs="Arial"/>
        </w:rPr>
        <w:t xml:space="preserve">It was moved by Commissioner </w:t>
      </w:r>
      <w:r w:rsidR="00D049F2">
        <w:rPr>
          <w:rFonts w:cs="Arial"/>
        </w:rPr>
        <w:t>Roby</w:t>
      </w:r>
      <w:r w:rsidRPr="00A046AD">
        <w:rPr>
          <w:rFonts w:cs="Arial"/>
        </w:rPr>
        <w:t xml:space="preserve"> and seconded by Commissioner </w:t>
      </w:r>
      <w:r w:rsidR="009B1787">
        <w:rPr>
          <w:rFonts w:cs="Arial"/>
        </w:rPr>
        <w:t>Jensen</w:t>
      </w:r>
      <w:r w:rsidRPr="00A046AD">
        <w:rPr>
          <w:rFonts w:cs="Arial"/>
        </w:rPr>
        <w:t xml:space="preserve"> that the Minutes of the Board of Commissioners’ Meeting held on </w:t>
      </w:r>
      <w:r w:rsidR="000057CE">
        <w:rPr>
          <w:rFonts w:cs="Arial"/>
        </w:rPr>
        <w:t>January 14</w:t>
      </w:r>
      <w:r w:rsidR="00821324" w:rsidRPr="00A046AD">
        <w:rPr>
          <w:rFonts w:cs="Arial"/>
        </w:rPr>
        <w:t>, 202</w:t>
      </w:r>
      <w:r w:rsidR="000057CE">
        <w:rPr>
          <w:rFonts w:cs="Arial"/>
        </w:rPr>
        <w:t>5</w:t>
      </w:r>
      <w:r w:rsidRPr="00A046AD">
        <w:rPr>
          <w:rFonts w:cs="Arial"/>
        </w:rPr>
        <w:t xml:space="preserve">, be adopted as </w:t>
      </w:r>
      <w:r w:rsidR="00821324" w:rsidRPr="00A046AD">
        <w:rPr>
          <w:rFonts w:cs="Arial"/>
        </w:rPr>
        <w:t>presented</w:t>
      </w:r>
      <w:r w:rsidRPr="00A046AD">
        <w:rPr>
          <w:rFonts w:cs="Arial"/>
        </w:rPr>
        <w:t>.</w:t>
      </w:r>
      <w:r w:rsidR="00934B95">
        <w:rPr>
          <w:rFonts w:cs="Arial"/>
        </w:rPr>
        <w:t xml:space="preserve"> </w:t>
      </w:r>
    </w:p>
    <w:p w14:paraId="6C3934DD" w14:textId="77777777" w:rsidR="00DC3B9D" w:rsidRPr="00A046AD" w:rsidRDefault="00DC3B9D" w:rsidP="008F21E6">
      <w:pPr>
        <w:spacing w:line="240" w:lineRule="auto"/>
        <w:ind w:left="720"/>
        <w:rPr>
          <w:rFonts w:cs="Arial"/>
        </w:rPr>
      </w:pPr>
    </w:p>
    <w:p w14:paraId="00DBD93E" w14:textId="1B25C693" w:rsidR="00821324" w:rsidRDefault="008456A0" w:rsidP="00E5489B">
      <w:pPr>
        <w:pStyle w:val="NoSpacing"/>
        <w:rPr>
          <w:rFonts w:cs="Arial"/>
        </w:rPr>
      </w:pPr>
      <w:r>
        <w:rPr>
          <w:rFonts w:cs="Arial"/>
        </w:rPr>
        <w:t xml:space="preserve">Motion passed by </w:t>
      </w:r>
      <w:r w:rsidR="00B31935">
        <w:rPr>
          <w:rFonts w:cs="Arial"/>
        </w:rPr>
        <w:t xml:space="preserve">a </w:t>
      </w:r>
      <w:r>
        <w:rPr>
          <w:rFonts w:cs="Arial"/>
        </w:rPr>
        <w:t>voice vote.</w:t>
      </w:r>
    </w:p>
    <w:p w14:paraId="22068845" w14:textId="77777777" w:rsidR="00081B3F" w:rsidRPr="00A046AD" w:rsidRDefault="00081B3F" w:rsidP="008F21E6">
      <w:pPr>
        <w:pStyle w:val="NoSpacing"/>
        <w:ind w:left="720"/>
        <w:rPr>
          <w:rFonts w:cs="Arial"/>
        </w:rPr>
      </w:pPr>
    </w:p>
    <w:p w14:paraId="5F07AF62" w14:textId="0D4A47A3" w:rsidR="00ED2D19" w:rsidRPr="00125704" w:rsidRDefault="00DC3B9D" w:rsidP="00185E1C">
      <w:pPr>
        <w:pStyle w:val="Heading1"/>
        <w:spacing w:before="0" w:line="240" w:lineRule="auto"/>
        <w:rPr>
          <w:rFonts w:cs="Arial"/>
          <w:szCs w:val="22"/>
        </w:rPr>
      </w:pPr>
      <w:r w:rsidRPr="00125704">
        <w:rPr>
          <w:rFonts w:cs="Arial"/>
          <w:szCs w:val="22"/>
        </w:rPr>
        <w:t>Executive Director’s report</w:t>
      </w:r>
    </w:p>
    <w:p w14:paraId="1BD052B5" w14:textId="77777777" w:rsidR="0060201F" w:rsidRPr="000E0ADA" w:rsidRDefault="0060201F" w:rsidP="00805CD2">
      <w:pPr>
        <w:spacing w:line="240" w:lineRule="auto"/>
        <w:ind w:left="720"/>
        <w:rPr>
          <w:rFonts w:cs="Arial"/>
          <w:color w:val="000000"/>
          <w:sz w:val="21"/>
          <w:szCs w:val="21"/>
        </w:rPr>
      </w:pPr>
    </w:p>
    <w:p w14:paraId="7A3F046C" w14:textId="3F61AE95" w:rsidR="00033001" w:rsidRDefault="00033001" w:rsidP="00A211F0">
      <w:pPr>
        <w:spacing w:line="240" w:lineRule="auto"/>
        <w:ind w:left="720" w:firstLine="0"/>
      </w:pPr>
      <w:r>
        <w:t xml:space="preserve">Executive Director Olson </w:t>
      </w:r>
      <w:r w:rsidR="0077320C">
        <w:t>reported</w:t>
      </w:r>
      <w:r>
        <w:t xml:space="preserve"> that</w:t>
      </w:r>
      <w:r w:rsidR="0077320C">
        <w:t xml:space="preserve"> </w:t>
      </w:r>
      <w:r w:rsidR="00D049F2">
        <w:t xml:space="preserve">the pricing of the Bond Issuance being voted on today will take place on January 12, 2025. He also announced that </w:t>
      </w:r>
      <w:r w:rsidR="00D10D9C">
        <w:t xml:space="preserve">the Governor’s office has </w:t>
      </w:r>
      <w:r w:rsidR="00D049F2">
        <w:t xml:space="preserve">selected </w:t>
      </w:r>
      <w:r w:rsidR="00D10D9C">
        <w:t xml:space="preserve">a </w:t>
      </w:r>
      <w:r w:rsidR="00D049F2">
        <w:t>replace</w:t>
      </w:r>
      <w:r w:rsidR="00D10D9C">
        <w:t>ment for</w:t>
      </w:r>
      <w:r w:rsidR="00D049F2">
        <w:t xml:space="preserve"> Commissioner Hansen and</w:t>
      </w:r>
      <w:r w:rsidR="00D10D9C">
        <w:t xml:space="preserve"> thanked him for his years of service. The Authority plans to schedule </w:t>
      </w:r>
      <w:r w:rsidR="000057CE">
        <w:t>a Board</w:t>
      </w:r>
      <w:r w:rsidR="00D049F2">
        <w:t xml:space="preserve"> Training </w:t>
      </w:r>
      <w:r w:rsidR="000057CE">
        <w:t>this</w:t>
      </w:r>
      <w:r w:rsidR="00D10D9C">
        <w:t xml:space="preserve"> April. </w:t>
      </w:r>
    </w:p>
    <w:p w14:paraId="1CE5AEA1" w14:textId="77777777" w:rsidR="00D10D9C" w:rsidRDefault="00D10D9C" w:rsidP="00A211F0">
      <w:pPr>
        <w:spacing w:line="240" w:lineRule="auto"/>
        <w:ind w:left="720" w:firstLine="0"/>
      </w:pPr>
    </w:p>
    <w:p w14:paraId="306376FE" w14:textId="620A9CC0" w:rsidR="00DF4FCB" w:rsidRDefault="00DF4FCB" w:rsidP="00DF4FCB">
      <w:pPr>
        <w:pStyle w:val="Heading1"/>
        <w:spacing w:before="0" w:line="240" w:lineRule="auto"/>
        <w:rPr>
          <w:rFonts w:cs="Arial"/>
          <w:iCs/>
          <w:szCs w:val="22"/>
        </w:rPr>
      </w:pPr>
      <w:r w:rsidRPr="00BD4AF2">
        <w:rPr>
          <w:rFonts w:cs="Arial"/>
          <w:iCs/>
          <w:szCs w:val="22"/>
        </w:rPr>
        <w:t>OLD BUSINESS</w:t>
      </w:r>
    </w:p>
    <w:p w14:paraId="7A31F5D5" w14:textId="77777777" w:rsidR="009B1787" w:rsidRDefault="009B1787" w:rsidP="009B1787"/>
    <w:p w14:paraId="40B9412C" w14:textId="5284D053" w:rsidR="009B1787" w:rsidRPr="009B1787" w:rsidRDefault="009B1787" w:rsidP="009B1787">
      <w:r>
        <w:t>None.</w:t>
      </w:r>
    </w:p>
    <w:p w14:paraId="57ED76A2" w14:textId="77777777" w:rsidR="00B65A29" w:rsidRPr="00B65A29" w:rsidRDefault="00B65A29" w:rsidP="00B65A29"/>
    <w:p w14:paraId="2E515036" w14:textId="043794D2" w:rsidR="009E7DB6" w:rsidRDefault="00DF4FCB" w:rsidP="00CD163A">
      <w:pPr>
        <w:pStyle w:val="Heading1"/>
        <w:spacing w:before="0" w:line="240" w:lineRule="auto"/>
        <w:rPr>
          <w:rFonts w:cs="Arial"/>
          <w:iCs/>
          <w:szCs w:val="22"/>
        </w:rPr>
      </w:pPr>
      <w:r w:rsidRPr="00BD4AF2">
        <w:rPr>
          <w:rFonts w:cs="Arial"/>
          <w:iCs/>
          <w:szCs w:val="22"/>
        </w:rPr>
        <w:t>NEW BUSINESS</w:t>
      </w:r>
    </w:p>
    <w:p w14:paraId="220E47AC" w14:textId="77777777" w:rsidR="009963CE" w:rsidRDefault="009963CE" w:rsidP="009963CE"/>
    <w:p w14:paraId="25BB51F3" w14:textId="4A351BAB" w:rsidR="00224DBF" w:rsidRPr="000057CE" w:rsidRDefault="00224DBF" w:rsidP="00833C81">
      <w:pPr>
        <w:numPr>
          <w:ilvl w:val="1"/>
          <w:numId w:val="1"/>
        </w:numPr>
        <w:ind w:left="720"/>
        <w:rPr>
          <w:b/>
          <w:bCs/>
        </w:rPr>
      </w:pPr>
      <w:r w:rsidRPr="00224DBF">
        <w:rPr>
          <w:b/>
        </w:rPr>
        <w:t>Resolution No. 2</w:t>
      </w:r>
      <w:r w:rsidR="008B2230">
        <w:rPr>
          <w:b/>
        </w:rPr>
        <w:t>5-01-0</w:t>
      </w:r>
      <w:r w:rsidR="000057CE">
        <w:rPr>
          <w:b/>
        </w:rPr>
        <w:t>13</w:t>
      </w:r>
      <w:r w:rsidRPr="00224DBF">
        <w:rPr>
          <w:b/>
        </w:rPr>
        <w:t>:</w:t>
      </w:r>
      <w:r w:rsidRPr="00224DBF">
        <w:rPr>
          <w:b/>
        </w:rPr>
        <w:tab/>
      </w:r>
      <w:r w:rsidR="000057CE" w:rsidRPr="000057CE">
        <w:rPr>
          <w:b/>
          <w:bCs/>
        </w:rPr>
        <w:t>Resolution to Authorize the Issuance and Sale of South Dakota Housing Development Authority Homeownership Mortgage Bonds in An Aggregate Principal Amount not to Exceed $250,000,000, Determining the Final Terms Thereof and Setting Forth the Covenants and Authorizing Execution of Documents with Respect Thereto</w:t>
      </w:r>
    </w:p>
    <w:p w14:paraId="1E439CBD" w14:textId="77777777" w:rsidR="00224DBF" w:rsidRPr="00224DBF" w:rsidRDefault="00224DBF" w:rsidP="00224DBF"/>
    <w:p w14:paraId="22E0C0C0" w14:textId="0ABD148F" w:rsidR="00224DBF" w:rsidRPr="00224DBF" w:rsidRDefault="00224DBF" w:rsidP="00224DBF">
      <w:pPr>
        <w:ind w:left="720" w:firstLine="0"/>
      </w:pPr>
      <w:r w:rsidRPr="00224DBF">
        <w:t xml:space="preserve">After review and discussion, it was moved by Commissioner </w:t>
      </w:r>
      <w:r w:rsidR="000057CE">
        <w:t>Steele</w:t>
      </w:r>
      <w:r w:rsidRPr="00224DBF">
        <w:t xml:space="preserve"> and seconded by Commissioner </w:t>
      </w:r>
      <w:r w:rsidR="000057CE">
        <w:t>Jensen</w:t>
      </w:r>
      <w:r w:rsidRPr="00224DBF">
        <w:t xml:space="preserve"> that the above Resolution be adopted as follows:</w:t>
      </w:r>
    </w:p>
    <w:p w14:paraId="234F412C" w14:textId="77777777" w:rsidR="00224DBF" w:rsidRPr="00224DBF" w:rsidRDefault="00224DBF" w:rsidP="00224DBF"/>
    <w:p w14:paraId="1AB44393" w14:textId="77777777" w:rsidR="000057CE" w:rsidRPr="005279D2" w:rsidRDefault="000057CE" w:rsidP="000057CE">
      <w:pPr>
        <w:pStyle w:val="BodyText"/>
        <w:spacing w:after="0"/>
        <w:ind w:firstLine="0"/>
      </w:pPr>
    </w:p>
    <w:p w14:paraId="109113C1" w14:textId="77777777" w:rsidR="000057CE" w:rsidRDefault="000057CE" w:rsidP="000057CE">
      <w:pPr>
        <w:pStyle w:val="Centered"/>
        <w:spacing w:after="0"/>
        <w:ind w:left="720" w:firstLine="0"/>
        <w:jc w:val="both"/>
        <w:rPr>
          <w:rFonts w:ascii="Arial" w:hAnsi="Arial" w:cs="Arial"/>
          <w:b/>
          <w:bCs/>
          <w:sz w:val="22"/>
          <w:szCs w:val="22"/>
        </w:rPr>
      </w:pPr>
      <w:r w:rsidRPr="00AA2ECF">
        <w:rPr>
          <w:rFonts w:ascii="Arial" w:hAnsi="Arial" w:cs="Arial"/>
          <w:b/>
          <w:bCs/>
          <w:sz w:val="22"/>
          <w:szCs w:val="22"/>
        </w:rPr>
        <w:t>BE IT RESOLVED BY THE SOUTH DAKOTA HOUSING DEVELOPMENT AUTHORITY:</w:t>
      </w:r>
    </w:p>
    <w:p w14:paraId="28AF932E" w14:textId="77777777" w:rsidR="000057CE" w:rsidRPr="005279D2" w:rsidRDefault="000057CE" w:rsidP="000057CE">
      <w:pPr>
        <w:pStyle w:val="BodyText"/>
        <w:spacing w:after="0"/>
        <w:ind w:hanging="90"/>
      </w:pPr>
    </w:p>
    <w:p w14:paraId="72AE0ACC" w14:textId="77777777" w:rsidR="000057CE" w:rsidRPr="00AA2ECF" w:rsidRDefault="000057CE" w:rsidP="000057CE">
      <w:pPr>
        <w:pStyle w:val="ArticleL1"/>
        <w:spacing w:after="0"/>
        <w:rPr>
          <w:rFonts w:ascii="Arial" w:hAnsi="Arial" w:cs="Arial"/>
          <w:szCs w:val="22"/>
        </w:rPr>
      </w:pPr>
      <w:r w:rsidRPr="00AA2ECF">
        <w:rPr>
          <w:rFonts w:ascii="Arial" w:hAnsi="Arial" w:cs="Arial"/>
          <w:szCs w:val="22"/>
        </w:rPr>
        <w:br/>
      </w:r>
      <w:r w:rsidRPr="00AA2ECF">
        <w:rPr>
          <w:rFonts w:ascii="Arial" w:hAnsi="Arial" w:cs="Arial"/>
          <w:szCs w:val="22"/>
        </w:rPr>
        <w:br/>
        <w:t>AUTHORIZATION OF ISSUANCE AND SALE OF SERIES BONDS</w:t>
      </w:r>
    </w:p>
    <w:p w14:paraId="19E13211" w14:textId="77777777" w:rsidR="000057CE" w:rsidRDefault="000057CE" w:rsidP="000057CE">
      <w:pPr>
        <w:pStyle w:val="ArticleL1"/>
        <w:numPr>
          <w:ilvl w:val="0"/>
          <w:numId w:val="0"/>
        </w:numPr>
        <w:spacing w:after="0"/>
        <w:rPr>
          <w:rFonts w:ascii="Arial" w:hAnsi="Arial" w:cs="Arial"/>
          <w:szCs w:val="22"/>
        </w:rPr>
      </w:pPr>
      <w:r w:rsidRPr="00AA2ECF">
        <w:rPr>
          <w:rFonts w:ascii="Arial" w:hAnsi="Arial" w:cs="Arial"/>
          <w:szCs w:val="22"/>
        </w:rPr>
        <w:t>AND EXECUTION AND DELIVERY OF RELATED DOCUMENTS</w:t>
      </w:r>
    </w:p>
    <w:p w14:paraId="6F4A76B0" w14:textId="0FA3D1F8" w:rsidR="000057CE" w:rsidRPr="005279D2" w:rsidRDefault="00791877" w:rsidP="00791877">
      <w:pPr>
        <w:pStyle w:val="BodyText"/>
        <w:spacing w:after="0"/>
        <w:ind w:left="540" w:firstLine="0"/>
      </w:pPr>
      <w:r>
        <w:tab/>
      </w:r>
    </w:p>
    <w:p w14:paraId="16B826D7" w14:textId="77777777" w:rsidR="000057CE" w:rsidRDefault="000057CE" w:rsidP="00F5362E">
      <w:pPr>
        <w:pStyle w:val="ArticleL2"/>
        <w:keepNext/>
        <w:spacing w:after="0"/>
        <w:ind w:left="720" w:firstLine="0"/>
        <w:rPr>
          <w:rFonts w:ascii="Arial" w:hAnsi="Arial" w:cs="Arial"/>
          <w:szCs w:val="22"/>
        </w:rPr>
      </w:pPr>
      <w:r w:rsidRPr="00AA2ECF">
        <w:rPr>
          <w:rFonts w:ascii="Arial" w:hAnsi="Arial" w:cs="Arial"/>
          <w:b/>
          <w:szCs w:val="22"/>
        </w:rPr>
        <w:t xml:space="preserve">  Authorization</w:t>
      </w:r>
      <w:r w:rsidRPr="00AA2ECF">
        <w:rPr>
          <w:rFonts w:ascii="Arial" w:hAnsi="Arial" w:cs="Arial"/>
          <w:szCs w:val="22"/>
        </w:rPr>
        <w:t>.</w:t>
      </w:r>
    </w:p>
    <w:p w14:paraId="31B6C4F9" w14:textId="77777777" w:rsidR="000057CE" w:rsidRPr="005279D2" w:rsidRDefault="000057CE" w:rsidP="000057CE">
      <w:pPr>
        <w:pStyle w:val="BodyText"/>
        <w:spacing w:after="0"/>
        <w:ind w:firstLine="0"/>
      </w:pPr>
    </w:p>
    <w:p w14:paraId="4BAF4725" w14:textId="77777777" w:rsidR="000057CE" w:rsidRDefault="000057CE" w:rsidP="00CB62A2">
      <w:pPr>
        <w:pStyle w:val="ArticleL3"/>
        <w:tabs>
          <w:tab w:val="clear" w:pos="2160"/>
        </w:tabs>
        <w:spacing w:after="0"/>
        <w:ind w:firstLine="0"/>
        <w:rPr>
          <w:rFonts w:ascii="Arial" w:hAnsi="Arial" w:cs="Arial"/>
          <w:szCs w:val="22"/>
        </w:rPr>
      </w:pPr>
      <w:r w:rsidRPr="00AA2ECF">
        <w:rPr>
          <w:rFonts w:ascii="Arial" w:hAnsi="Arial" w:cs="Arial"/>
          <w:b/>
          <w:bCs/>
          <w:i/>
          <w:iCs/>
          <w:szCs w:val="22"/>
        </w:rPr>
        <w:t>Resolutions</w:t>
      </w:r>
      <w:r w:rsidRPr="00AA2ECF">
        <w:rPr>
          <w:rFonts w:ascii="Arial" w:hAnsi="Arial" w:cs="Arial"/>
          <w:szCs w:val="22"/>
        </w:rPr>
        <w:t>.  This resolution, referred to herein as the “</w:t>
      </w:r>
      <w:r w:rsidRPr="00AA2ECF">
        <w:rPr>
          <w:rFonts w:ascii="Arial" w:hAnsi="Arial" w:cs="Arial"/>
          <w:b/>
          <w:bCs/>
          <w:szCs w:val="22"/>
        </w:rPr>
        <w:t>Series Resolution</w:t>
      </w:r>
      <w:r w:rsidRPr="00AA2ECF">
        <w:rPr>
          <w:rFonts w:ascii="Arial" w:hAnsi="Arial" w:cs="Arial"/>
          <w:szCs w:val="22"/>
        </w:rPr>
        <w:t>,” is adopted pursuant to Article II of the Authority’s Resolution No. 77</w:t>
      </w:r>
      <w:r w:rsidRPr="00AA2ECF">
        <w:rPr>
          <w:rFonts w:ascii="Arial" w:hAnsi="Arial" w:cs="Arial"/>
          <w:szCs w:val="22"/>
        </w:rPr>
        <w:noBreakHyphen/>
        <w:t>27, adopted June 16, 1977, as amended and supplemented, and entitled: “Resolution Providing for the Issuance of Homeownership Mortgage Bonds of the South Dakota Housing Development Authority,” referred to herein as the “</w:t>
      </w:r>
      <w:r w:rsidRPr="00AA2ECF">
        <w:rPr>
          <w:rFonts w:ascii="Arial" w:hAnsi="Arial" w:cs="Arial"/>
          <w:b/>
          <w:bCs/>
          <w:szCs w:val="22"/>
        </w:rPr>
        <w:t>Bond Resolution</w:t>
      </w:r>
      <w:r w:rsidRPr="00AA2ECF">
        <w:rPr>
          <w:rFonts w:ascii="Arial" w:hAnsi="Arial" w:cs="Arial"/>
          <w:szCs w:val="22"/>
        </w:rPr>
        <w:t>,” to authorize the issuance and sale and determination of the terms and provisions of bonds of the Authority (the “</w:t>
      </w:r>
      <w:r w:rsidRPr="00AA2ECF">
        <w:rPr>
          <w:rFonts w:ascii="Arial" w:hAnsi="Arial" w:cs="Arial"/>
          <w:b/>
          <w:bCs/>
          <w:szCs w:val="22"/>
        </w:rPr>
        <w:t>Series Determinations</w:t>
      </w:r>
      <w:r w:rsidRPr="00AA2ECF">
        <w:rPr>
          <w:rFonts w:ascii="Arial" w:hAnsi="Arial" w:cs="Arial"/>
          <w:szCs w:val="22"/>
        </w:rPr>
        <w:t>”) which are designated as “Homeownership Mortgage Bonds, 2025 Series A/B” or such other series designations as the Chair, the Vice Chair or the Executive Director (each, an “</w:t>
      </w:r>
      <w:r w:rsidRPr="00AA2ECF">
        <w:rPr>
          <w:rFonts w:ascii="Arial" w:hAnsi="Arial" w:cs="Arial"/>
          <w:b/>
          <w:bCs/>
          <w:szCs w:val="22"/>
        </w:rPr>
        <w:t>Authorized Officer</w:t>
      </w:r>
      <w:r w:rsidRPr="00AA2ECF">
        <w:rPr>
          <w:rFonts w:ascii="Arial" w:hAnsi="Arial" w:cs="Arial"/>
          <w:szCs w:val="22"/>
        </w:rPr>
        <w:t>”) may deem appropriate, in an aggregate principal amount not to exceed $250,000,000 (such Series of Bonds are collectively referred to herein as the “</w:t>
      </w:r>
      <w:r w:rsidRPr="00AA2ECF">
        <w:rPr>
          <w:rFonts w:ascii="Arial" w:hAnsi="Arial" w:cs="Arial"/>
          <w:b/>
          <w:bCs/>
          <w:szCs w:val="22"/>
        </w:rPr>
        <w:t>Series Bonds</w:t>
      </w:r>
      <w:r w:rsidRPr="00AA2ECF">
        <w:rPr>
          <w:rFonts w:ascii="Arial" w:hAnsi="Arial" w:cs="Arial"/>
          <w:szCs w:val="22"/>
        </w:rPr>
        <w:t xml:space="preserve">”).  All terms defined in Section 103 of the Bond Resolution are used with </w:t>
      </w:r>
      <w:proofErr w:type="gramStart"/>
      <w:r w:rsidRPr="00AA2ECF">
        <w:rPr>
          <w:rFonts w:ascii="Arial" w:hAnsi="Arial" w:cs="Arial"/>
          <w:szCs w:val="22"/>
        </w:rPr>
        <w:t>like meaning</w:t>
      </w:r>
      <w:proofErr w:type="gramEnd"/>
      <w:r w:rsidRPr="00AA2ECF">
        <w:rPr>
          <w:rFonts w:ascii="Arial" w:hAnsi="Arial" w:cs="Arial"/>
          <w:szCs w:val="22"/>
        </w:rPr>
        <w:t xml:space="preserve"> in this Series Resolution, and the terms, provisions and conditions of the Bond Resolution apply to the Series Bonds and the issuance thereof except as is otherwise provided herein or in the Series Determinations.</w:t>
      </w:r>
    </w:p>
    <w:p w14:paraId="1E49233F" w14:textId="77777777" w:rsidR="000057CE" w:rsidRPr="005279D2" w:rsidRDefault="000057CE" w:rsidP="000057CE">
      <w:pPr>
        <w:pStyle w:val="BodyText"/>
        <w:spacing w:after="0"/>
        <w:ind w:firstLine="0"/>
      </w:pPr>
    </w:p>
    <w:p w14:paraId="76D9E254" w14:textId="77777777" w:rsidR="000057CE" w:rsidRDefault="000057CE" w:rsidP="00791877">
      <w:pPr>
        <w:pStyle w:val="ArticleL3"/>
        <w:tabs>
          <w:tab w:val="clear" w:pos="2160"/>
        </w:tabs>
        <w:spacing w:after="0"/>
        <w:ind w:firstLine="0"/>
        <w:rPr>
          <w:rFonts w:ascii="Arial" w:hAnsi="Arial" w:cs="Arial"/>
          <w:szCs w:val="22"/>
        </w:rPr>
      </w:pPr>
      <w:r w:rsidRPr="00AA2ECF">
        <w:rPr>
          <w:rFonts w:ascii="Arial" w:hAnsi="Arial" w:cs="Arial"/>
          <w:b/>
          <w:bCs/>
          <w:i/>
          <w:iCs/>
          <w:szCs w:val="22"/>
        </w:rPr>
        <w:lastRenderedPageBreak/>
        <w:t>Purposes</w:t>
      </w:r>
      <w:r w:rsidRPr="00AA2ECF">
        <w:rPr>
          <w:rFonts w:ascii="Arial" w:hAnsi="Arial" w:cs="Arial"/>
          <w:szCs w:val="22"/>
        </w:rPr>
        <w:t>.  It is determined to be in the best interests of the Authority to issue the Series Bonds in one or more series for the purpose of providing funding for the Authority’s program (the “</w:t>
      </w:r>
      <w:r w:rsidRPr="00AA2ECF">
        <w:rPr>
          <w:rFonts w:ascii="Arial" w:hAnsi="Arial" w:cs="Arial"/>
          <w:b/>
          <w:bCs/>
          <w:szCs w:val="22"/>
        </w:rPr>
        <w:t>Program</w:t>
      </w:r>
      <w:r w:rsidRPr="00AA2ECF">
        <w:rPr>
          <w:rFonts w:ascii="Arial" w:hAnsi="Arial" w:cs="Arial"/>
          <w:szCs w:val="22"/>
        </w:rPr>
        <w:t>”) of financing Qualified Mortgage Loans to facilitate the development of a sufficient supply of residential housing in South Dakota (the “</w:t>
      </w:r>
      <w:r w:rsidRPr="00AA2ECF">
        <w:rPr>
          <w:rFonts w:ascii="Arial" w:hAnsi="Arial" w:cs="Arial"/>
          <w:b/>
          <w:bCs/>
          <w:szCs w:val="22"/>
        </w:rPr>
        <w:t>State</w:t>
      </w:r>
      <w:r w:rsidRPr="00AA2ECF">
        <w:rPr>
          <w:rFonts w:ascii="Arial" w:hAnsi="Arial" w:cs="Arial"/>
          <w:szCs w:val="22"/>
        </w:rPr>
        <w:t>”) at prices that persons and families of low and moderate income can afford, which funding may include the refunding of outstanding Homeownership Mortgage Bonds heretofore issued under the Bond Resolution or other outstanding bonds or indebtedness incurred by the Authority to finance the Program (the “</w:t>
      </w:r>
      <w:r w:rsidRPr="00AA2ECF">
        <w:rPr>
          <w:rFonts w:ascii="Arial" w:hAnsi="Arial" w:cs="Arial"/>
          <w:b/>
          <w:bCs/>
          <w:szCs w:val="22"/>
        </w:rPr>
        <w:t>Refunded Bonds</w:t>
      </w:r>
      <w:r w:rsidRPr="00AA2ECF">
        <w:rPr>
          <w:rFonts w:ascii="Arial" w:hAnsi="Arial" w:cs="Arial"/>
          <w:szCs w:val="22"/>
        </w:rPr>
        <w:t>”), the funding of any necessary reserves, the funding of down payment assistance and the funding of the costs of issuing the Series Bonds.</w:t>
      </w:r>
    </w:p>
    <w:p w14:paraId="1FCCA46F" w14:textId="77777777" w:rsidR="000057CE" w:rsidRPr="002D746E" w:rsidRDefault="000057CE" w:rsidP="000057CE">
      <w:pPr>
        <w:pStyle w:val="BodyText"/>
        <w:spacing w:after="0"/>
      </w:pPr>
    </w:p>
    <w:p w14:paraId="08CCE9CE" w14:textId="77777777" w:rsidR="000057CE" w:rsidRDefault="000057CE" w:rsidP="00791877">
      <w:pPr>
        <w:pStyle w:val="ArticleL3"/>
        <w:keepNext/>
        <w:tabs>
          <w:tab w:val="clear" w:pos="2160"/>
          <w:tab w:val="num" w:pos="720"/>
        </w:tabs>
        <w:spacing w:after="0"/>
        <w:ind w:firstLine="0"/>
        <w:rPr>
          <w:rFonts w:ascii="Arial" w:hAnsi="Arial" w:cs="Arial"/>
          <w:szCs w:val="22"/>
        </w:rPr>
      </w:pPr>
      <w:r w:rsidRPr="00AA2ECF">
        <w:rPr>
          <w:rFonts w:ascii="Arial" w:hAnsi="Arial" w:cs="Arial"/>
          <w:b/>
          <w:bCs/>
          <w:i/>
          <w:iCs/>
          <w:szCs w:val="22"/>
        </w:rPr>
        <w:t>Ratification of Prior Acts</w:t>
      </w:r>
      <w:r w:rsidRPr="00AA2ECF">
        <w:rPr>
          <w:rFonts w:ascii="Arial" w:hAnsi="Arial" w:cs="Arial"/>
          <w:szCs w:val="22"/>
        </w:rPr>
        <w:t xml:space="preserve">.  All </w:t>
      </w:r>
      <w:proofErr w:type="gramStart"/>
      <w:r w:rsidRPr="00AA2ECF">
        <w:rPr>
          <w:rFonts w:ascii="Arial" w:hAnsi="Arial" w:cs="Arial"/>
          <w:szCs w:val="22"/>
        </w:rPr>
        <w:t>action</w:t>
      </w:r>
      <w:proofErr w:type="gramEnd"/>
      <w:r w:rsidRPr="00AA2ECF">
        <w:rPr>
          <w:rFonts w:ascii="Arial" w:hAnsi="Arial" w:cs="Arial"/>
          <w:szCs w:val="22"/>
        </w:rPr>
        <w:t xml:space="preserve"> heretofore taken (not inconsistent with the provisions of this Series Resolution) by the Authority and its officers directed toward the issuance of the Series Bonds are hereby ratified, approved and confirmed.</w:t>
      </w:r>
    </w:p>
    <w:p w14:paraId="38322F25" w14:textId="77777777" w:rsidR="000057CE" w:rsidRPr="005279D2" w:rsidRDefault="000057CE" w:rsidP="000057CE">
      <w:pPr>
        <w:pStyle w:val="BodyText"/>
        <w:spacing w:after="0"/>
        <w:ind w:firstLine="0"/>
      </w:pPr>
    </w:p>
    <w:p w14:paraId="784777D4" w14:textId="7E952047" w:rsidR="000057CE" w:rsidRDefault="000057CE" w:rsidP="00791877">
      <w:pPr>
        <w:pStyle w:val="ArticleL3"/>
        <w:keepNext/>
        <w:tabs>
          <w:tab w:val="clear" w:pos="2160"/>
          <w:tab w:val="left" w:pos="720"/>
        </w:tabs>
        <w:spacing w:after="0"/>
        <w:ind w:firstLine="0"/>
        <w:rPr>
          <w:rFonts w:ascii="Arial" w:hAnsi="Arial" w:cs="Arial"/>
          <w:szCs w:val="22"/>
        </w:rPr>
      </w:pPr>
      <w:r w:rsidRPr="00AA2ECF">
        <w:rPr>
          <w:rFonts w:ascii="Arial" w:hAnsi="Arial" w:cs="Arial"/>
          <w:b/>
          <w:bCs/>
          <w:i/>
          <w:iCs/>
          <w:szCs w:val="22"/>
        </w:rPr>
        <w:t>Offer and Sale of Series Bonds</w:t>
      </w:r>
      <w:r w:rsidRPr="00AA2ECF">
        <w:rPr>
          <w:rFonts w:ascii="Arial" w:hAnsi="Arial" w:cs="Arial"/>
          <w:szCs w:val="22"/>
        </w:rPr>
        <w:t xml:space="preserve">.  </w:t>
      </w:r>
      <w:r w:rsidRPr="00AA2ECF">
        <w:rPr>
          <w:rFonts w:ascii="Arial" w:hAnsi="Arial" w:cs="Arial"/>
          <w:i/>
          <w:iCs/>
          <w:szCs w:val="22"/>
        </w:rPr>
        <w:t xml:space="preserve">Contracts of Purchase Relating to Series Bonds.  </w:t>
      </w:r>
      <w:r w:rsidRPr="00AA2ECF">
        <w:rPr>
          <w:rFonts w:ascii="Arial" w:hAnsi="Arial" w:cs="Arial"/>
          <w:szCs w:val="22"/>
        </w:rPr>
        <w:t xml:space="preserve">The Authority authorizes negotiation for the sale of Series Bonds to one or more of </w:t>
      </w:r>
      <w:proofErr w:type="spellStart"/>
      <w:r w:rsidRPr="00AA2ECF">
        <w:rPr>
          <w:rFonts w:ascii="Arial" w:hAnsi="Arial" w:cs="Arial"/>
          <w:szCs w:val="22"/>
        </w:rPr>
        <w:t>BofA</w:t>
      </w:r>
      <w:proofErr w:type="spellEnd"/>
      <w:r w:rsidRPr="00AA2ECF">
        <w:rPr>
          <w:rFonts w:ascii="Arial" w:hAnsi="Arial" w:cs="Arial"/>
          <w:szCs w:val="22"/>
        </w:rPr>
        <w:t xml:space="preserve"> Securities, Inc., Wells Fargo Bank, National Association, Colliers Securities LLC or J.P. Morgan Securities LLC (collectively, including any affiliates thereof, the “</w:t>
      </w:r>
      <w:r w:rsidRPr="00AA2ECF">
        <w:rPr>
          <w:rFonts w:ascii="Arial" w:hAnsi="Arial" w:cs="Arial"/>
          <w:b/>
          <w:bCs/>
          <w:szCs w:val="22"/>
        </w:rPr>
        <w:t>Underwriters</w:t>
      </w:r>
      <w:r w:rsidRPr="00AA2ECF">
        <w:rPr>
          <w:rFonts w:ascii="Arial" w:hAnsi="Arial" w:cs="Arial"/>
          <w:szCs w:val="22"/>
        </w:rPr>
        <w:t>” or the “</w:t>
      </w:r>
      <w:r w:rsidRPr="00AA2ECF">
        <w:rPr>
          <w:rFonts w:ascii="Arial" w:hAnsi="Arial" w:cs="Arial"/>
          <w:b/>
          <w:bCs/>
          <w:szCs w:val="22"/>
        </w:rPr>
        <w:t>Original Purchasers</w:t>
      </w:r>
      <w:r w:rsidRPr="00AA2ECF">
        <w:rPr>
          <w:rFonts w:ascii="Arial" w:hAnsi="Arial" w:cs="Arial"/>
          <w:szCs w:val="22"/>
        </w:rPr>
        <w:t>”).  Any single institutional investor may also be the Original Purchaser of all or any portion of any Series Bonds if an Authorized Officer determines the same will result in more beneficial financing terms for the Authority.  The Authority hereby approves the use of the form of Contract of Purchase previously used with respect to its 2024 Series C/D Bonds, with such changes, modifications, additions and deletions therein as such Authorized Officer determines to be in the best interests of the Authority or as may seem necessary, desirable, appropriate or advisable in anticipation of the issuance and/or sale of such Series Bonds, pursuant to which Series Bonds are proposed to be sold, executed and delivered.  Each Authorized Officer is authorized to select the Original Purchaser for any Series Bonds, to approve (subject to Article II hereof) such final terms and provisions of the Contract(s) of Purchase relating to such Series Bonds, provided such terms are within the parameters set by this Series Resolution, and to execute the Contract(s) of Purchase relating to such Series Bonds on behalf of the Authority.</w:t>
      </w:r>
      <w:r w:rsidR="00791877">
        <w:rPr>
          <w:rFonts w:ascii="Arial" w:hAnsi="Arial" w:cs="Arial"/>
          <w:szCs w:val="22"/>
        </w:rPr>
        <w:tab/>
      </w:r>
    </w:p>
    <w:p w14:paraId="59BC69AC" w14:textId="77777777" w:rsidR="00DA154C" w:rsidRDefault="00DA154C" w:rsidP="00791877">
      <w:pPr>
        <w:pStyle w:val="ArticleL4"/>
        <w:numPr>
          <w:ilvl w:val="0"/>
          <w:numId w:val="0"/>
        </w:numPr>
        <w:spacing w:after="0"/>
        <w:ind w:left="720"/>
        <w:rPr>
          <w:rFonts w:ascii="Arial" w:hAnsi="Arial" w:cs="Arial"/>
          <w:i/>
          <w:iCs/>
          <w:szCs w:val="22"/>
        </w:rPr>
      </w:pPr>
    </w:p>
    <w:p w14:paraId="68CCF49A" w14:textId="294867A2" w:rsidR="000057CE" w:rsidRDefault="000057CE" w:rsidP="00791877">
      <w:pPr>
        <w:pStyle w:val="ArticleL4"/>
        <w:numPr>
          <w:ilvl w:val="0"/>
          <w:numId w:val="0"/>
        </w:numPr>
        <w:spacing w:after="0"/>
        <w:ind w:left="720"/>
        <w:rPr>
          <w:rFonts w:ascii="Arial" w:hAnsi="Arial" w:cs="Arial"/>
          <w:szCs w:val="22"/>
        </w:rPr>
      </w:pPr>
      <w:r w:rsidRPr="00AA2ECF">
        <w:rPr>
          <w:rFonts w:ascii="Arial" w:hAnsi="Arial" w:cs="Arial"/>
          <w:i/>
          <w:iCs/>
          <w:szCs w:val="22"/>
        </w:rPr>
        <w:t>Official Statement</w:t>
      </w:r>
      <w:r w:rsidRPr="00AA2ECF">
        <w:rPr>
          <w:rFonts w:ascii="Arial" w:hAnsi="Arial" w:cs="Arial"/>
          <w:szCs w:val="22"/>
        </w:rPr>
        <w:t>.  The Authority hereby approves and ratifies the use of a Preliminary Official Statement, in the form previously used with respect to its 2024 Series C/D Bonds, containing information relating to the Authority and the Series Bonds and such other information as is deemed appropriate by an Authorized Officer, and hereby approves and ratifies the distribution thereof by the Underwriters.  A final Official Statement, substantially in the form of the Preliminary Official Statement except for the insertion of the final terms of the Series Bonds and any revisions required or approved by counsel for the Authority, is authorized to be prepared and signed by an Authorized Officer and furnished to the Underwriters.</w:t>
      </w:r>
    </w:p>
    <w:p w14:paraId="19D0AA10" w14:textId="77777777" w:rsidR="000057CE" w:rsidRPr="005279D2" w:rsidRDefault="000057CE" w:rsidP="000057CE">
      <w:pPr>
        <w:pStyle w:val="BodyText"/>
        <w:spacing w:after="0"/>
      </w:pPr>
    </w:p>
    <w:p w14:paraId="7518F3C9" w14:textId="77777777" w:rsidR="000057CE" w:rsidRDefault="000057CE" w:rsidP="00791877">
      <w:pPr>
        <w:pStyle w:val="ArticleL2"/>
        <w:keepNext/>
        <w:spacing w:after="0"/>
        <w:ind w:left="0"/>
        <w:rPr>
          <w:rFonts w:ascii="Arial" w:hAnsi="Arial" w:cs="Arial"/>
          <w:b/>
          <w:bCs/>
          <w:szCs w:val="22"/>
        </w:rPr>
      </w:pPr>
      <w:r w:rsidRPr="00AA2ECF">
        <w:rPr>
          <w:rFonts w:ascii="Arial" w:hAnsi="Arial" w:cs="Arial"/>
          <w:b/>
          <w:bCs/>
          <w:szCs w:val="22"/>
        </w:rPr>
        <w:t xml:space="preserve">  Approval and Authorization of Series Bonds and Documents. </w:t>
      </w:r>
    </w:p>
    <w:p w14:paraId="594D6D44" w14:textId="77777777" w:rsidR="000057CE" w:rsidRPr="005279D2" w:rsidRDefault="000057CE" w:rsidP="000057CE">
      <w:pPr>
        <w:pStyle w:val="BodyText"/>
        <w:spacing w:after="0"/>
      </w:pPr>
    </w:p>
    <w:p w14:paraId="0A659E4D" w14:textId="77777777" w:rsidR="000057CE" w:rsidRPr="00401E65" w:rsidRDefault="000057CE" w:rsidP="00791877">
      <w:pPr>
        <w:pStyle w:val="ArticleL3"/>
        <w:tabs>
          <w:tab w:val="clear" w:pos="2160"/>
        </w:tabs>
        <w:spacing w:after="0"/>
        <w:ind w:firstLine="0"/>
        <w:rPr>
          <w:rFonts w:ascii="Arial" w:hAnsi="Arial" w:cs="Arial"/>
        </w:rPr>
      </w:pPr>
      <w:r w:rsidRPr="00401E65">
        <w:rPr>
          <w:rFonts w:ascii="Arial" w:hAnsi="Arial" w:cs="Arial"/>
          <w:b/>
          <w:i/>
          <w:iCs/>
        </w:rPr>
        <w:t>Form and Execution of Series Bonds</w:t>
      </w:r>
      <w:r w:rsidRPr="00401E65">
        <w:rPr>
          <w:rFonts w:ascii="Arial" w:hAnsi="Arial" w:cs="Arial"/>
        </w:rPr>
        <w:t xml:space="preserve">.  The Series Bonds shall be issuable in one or more series in the form of fully registered Bonds, and shall be executed and sealed, as provided in the Bond Resolution and the Series Determinations. </w:t>
      </w:r>
    </w:p>
    <w:p w14:paraId="7776A638" w14:textId="77777777" w:rsidR="000057CE" w:rsidRPr="00401E65" w:rsidRDefault="000057CE" w:rsidP="000057CE">
      <w:pPr>
        <w:pStyle w:val="BodyText"/>
        <w:spacing w:after="0"/>
        <w:rPr>
          <w:rFonts w:ascii="Arial" w:hAnsi="Arial" w:cs="Arial"/>
        </w:rPr>
      </w:pPr>
    </w:p>
    <w:p w14:paraId="1DD39FAB" w14:textId="77777777" w:rsidR="000057CE" w:rsidRPr="00401E65" w:rsidRDefault="000057CE" w:rsidP="00791877">
      <w:pPr>
        <w:pStyle w:val="ArticleL3"/>
        <w:tabs>
          <w:tab w:val="clear" w:pos="2160"/>
        </w:tabs>
        <w:spacing w:after="0"/>
        <w:ind w:left="630" w:firstLine="0"/>
        <w:rPr>
          <w:rFonts w:ascii="Arial" w:hAnsi="Arial" w:cs="Arial"/>
        </w:rPr>
      </w:pPr>
      <w:r w:rsidRPr="00401E65">
        <w:rPr>
          <w:rFonts w:ascii="Arial" w:hAnsi="Arial" w:cs="Arial"/>
          <w:b/>
          <w:bCs/>
          <w:i/>
          <w:iCs/>
        </w:rPr>
        <w:t>Continuing Disclosure Agreement</w:t>
      </w:r>
      <w:r w:rsidRPr="00401E65">
        <w:rPr>
          <w:rFonts w:ascii="Arial" w:hAnsi="Arial" w:cs="Arial"/>
        </w:rPr>
        <w:t xml:space="preserve">.  The Authority hereby approves the use of a Continuing Disclosure Agreement relating to the Series Bonds in the form previously used with respect to its 2024 Series C/D Bonds, wherein the Authority will covenant for the benefit of the beneficial owners of such Series Bonds to provide annually certain financial information and operating data relating to the Authority and to provide notices of the occurrence of certain enumerated events.  Each Authorized Officer is authorized to execute, deliver and/or seal, as necessary, the Continuing Disclosure Agreement in connection with the issuance of any Series Bonds, </w:t>
      </w:r>
      <w:bookmarkStart w:id="5" w:name="_Hlk185938768"/>
      <w:r w:rsidRPr="00401E65">
        <w:rPr>
          <w:rFonts w:ascii="Arial" w:hAnsi="Arial" w:cs="Arial"/>
        </w:rPr>
        <w:t>with such changes, modifications, additions and deletions therein as such Authorized Officer determines to be in the best interests of the Authority or as may seem necessary, desirable, appropriate or advisable in anticipation of the issuance and/or sale of such Series Bonds</w:t>
      </w:r>
      <w:bookmarkEnd w:id="5"/>
      <w:r w:rsidRPr="00401E65">
        <w:rPr>
          <w:rFonts w:ascii="Arial" w:hAnsi="Arial" w:cs="Arial"/>
        </w:rPr>
        <w:t>.</w:t>
      </w:r>
    </w:p>
    <w:p w14:paraId="5AA11732" w14:textId="77777777" w:rsidR="000057CE" w:rsidRPr="00401E65" w:rsidRDefault="000057CE" w:rsidP="000057CE">
      <w:pPr>
        <w:pStyle w:val="ListParagraph"/>
        <w:rPr>
          <w:rFonts w:cs="Arial"/>
        </w:rPr>
      </w:pPr>
    </w:p>
    <w:p w14:paraId="7103BC37" w14:textId="77777777" w:rsidR="000057CE" w:rsidRPr="00401E65" w:rsidRDefault="000057CE" w:rsidP="00791877">
      <w:pPr>
        <w:pStyle w:val="ArticleL3"/>
        <w:tabs>
          <w:tab w:val="clear" w:pos="2160"/>
        </w:tabs>
        <w:spacing w:after="0"/>
        <w:ind w:firstLine="0"/>
        <w:rPr>
          <w:rFonts w:ascii="Arial" w:hAnsi="Arial" w:cs="Arial"/>
        </w:rPr>
      </w:pPr>
      <w:r w:rsidRPr="00401E65">
        <w:rPr>
          <w:rFonts w:ascii="Arial" w:hAnsi="Arial" w:cs="Arial"/>
          <w:b/>
          <w:bCs/>
          <w:i/>
          <w:iCs/>
        </w:rPr>
        <w:t>Interest Rate Hedging Agreements</w:t>
      </w:r>
      <w:r w:rsidRPr="00401E65">
        <w:rPr>
          <w:rFonts w:ascii="Arial" w:hAnsi="Arial" w:cs="Arial"/>
        </w:rPr>
        <w:t>.  The Authority hereby approves the use of interest rate hedging agreements with such financial organizations as an Authorized Officer may specify (each, a “</w:t>
      </w:r>
      <w:r w:rsidRPr="00401E65">
        <w:rPr>
          <w:rFonts w:ascii="Arial" w:hAnsi="Arial" w:cs="Arial"/>
          <w:b/>
          <w:bCs/>
        </w:rPr>
        <w:t>Counterparty</w:t>
      </w:r>
      <w:r w:rsidRPr="00401E65">
        <w:rPr>
          <w:rFonts w:ascii="Arial" w:hAnsi="Arial" w:cs="Arial"/>
        </w:rPr>
        <w:t>”), in particular financial organizations with whom the Authority already has such hedging agreements, and the form of the interest rate hedging agreements with such Counterparties, consisting of an ISDA Master Agreement, a Schedule and a Credit Support Annex, and one or more Confirmations thereto, relating to any Series Bonds which may be variable rate bonds, which Counterparties and form of agreements satisfy the provisions of the Authority’s Interest Rate Swap Policy (collectively, the “</w:t>
      </w:r>
      <w:r w:rsidRPr="00401E65">
        <w:rPr>
          <w:rFonts w:ascii="Arial" w:hAnsi="Arial" w:cs="Arial"/>
          <w:b/>
          <w:bCs/>
        </w:rPr>
        <w:t>Hedging Agreements</w:t>
      </w:r>
      <w:r w:rsidRPr="00401E65">
        <w:rPr>
          <w:rFonts w:ascii="Arial" w:hAnsi="Arial" w:cs="Arial"/>
        </w:rPr>
        <w:t>”).  Each Authorized Officer is authorized to execute, deliver and/or seal, as necessary, a Hedge Agreement in connection with the issuance of any Series Bonds, with such changes, modifications, additions and deletions therein as such Authorized Officer determines to be in the best interests of the Authority or as may seem necessary, desirable, appropriate or advisable in anticipation of the issuance and/or sale of such Series Bonds.</w:t>
      </w:r>
    </w:p>
    <w:p w14:paraId="37588F21" w14:textId="77777777" w:rsidR="000057CE" w:rsidRPr="00401E65" w:rsidRDefault="000057CE" w:rsidP="000057CE">
      <w:pPr>
        <w:pStyle w:val="BodyText"/>
        <w:spacing w:after="0"/>
        <w:rPr>
          <w:rFonts w:ascii="Arial" w:hAnsi="Arial" w:cs="Arial"/>
        </w:rPr>
      </w:pPr>
    </w:p>
    <w:p w14:paraId="5B77B649" w14:textId="77777777" w:rsidR="000057CE" w:rsidRPr="00401E65" w:rsidRDefault="000057CE" w:rsidP="00791877">
      <w:pPr>
        <w:pStyle w:val="ArticleL4"/>
        <w:numPr>
          <w:ilvl w:val="0"/>
          <w:numId w:val="0"/>
        </w:numPr>
        <w:spacing w:after="0"/>
        <w:ind w:left="720"/>
        <w:rPr>
          <w:rFonts w:ascii="Arial" w:hAnsi="Arial" w:cs="Arial"/>
          <w:szCs w:val="22"/>
        </w:rPr>
      </w:pPr>
      <w:r w:rsidRPr="00401E65">
        <w:rPr>
          <w:rFonts w:ascii="Arial" w:hAnsi="Arial" w:cs="Arial"/>
          <w:szCs w:val="22"/>
        </w:rPr>
        <w:t>(d)</w:t>
      </w:r>
      <w:r w:rsidRPr="00401E65">
        <w:rPr>
          <w:rFonts w:ascii="Arial" w:hAnsi="Arial" w:cs="Arial"/>
          <w:szCs w:val="22"/>
        </w:rPr>
        <w:tab/>
      </w:r>
      <w:r w:rsidRPr="00401E65">
        <w:rPr>
          <w:rFonts w:ascii="Arial" w:hAnsi="Arial" w:cs="Arial"/>
          <w:b/>
          <w:bCs/>
          <w:i/>
          <w:iCs/>
          <w:szCs w:val="22"/>
        </w:rPr>
        <w:t>Continuing Covenant Agreements, Standby Bond Purchase Agreements and Remarketing Agreements; Self-Liquidity</w:t>
      </w:r>
      <w:r w:rsidRPr="00401E65">
        <w:rPr>
          <w:rFonts w:ascii="Arial" w:hAnsi="Arial" w:cs="Arial"/>
          <w:szCs w:val="22"/>
        </w:rPr>
        <w:t>.  The Authority hereby approves the use of a Continuing Covenant Agreement (“</w:t>
      </w:r>
      <w:r w:rsidRPr="00401E65">
        <w:rPr>
          <w:rFonts w:ascii="Arial" w:hAnsi="Arial" w:cs="Arial"/>
          <w:b/>
          <w:bCs/>
          <w:szCs w:val="22"/>
        </w:rPr>
        <w:t>CCA</w:t>
      </w:r>
      <w:r w:rsidRPr="00401E65">
        <w:rPr>
          <w:rFonts w:ascii="Arial" w:hAnsi="Arial" w:cs="Arial"/>
          <w:szCs w:val="22"/>
        </w:rPr>
        <w:t>”), relating to any Series Bonds bearing interest at variable rates, in substantially the form used in conjunction with the sale of the Authority’s 2016 Series E Bonds.  The Authority also hereby approves the use of a Standby Bond Purchase Agreement or comparable liquidity agreement (“</w:t>
      </w:r>
      <w:r w:rsidRPr="00401E65">
        <w:rPr>
          <w:rFonts w:ascii="Arial" w:hAnsi="Arial" w:cs="Arial"/>
          <w:b/>
          <w:bCs/>
          <w:szCs w:val="22"/>
        </w:rPr>
        <w:t>SBPA</w:t>
      </w:r>
      <w:r w:rsidRPr="00401E65">
        <w:rPr>
          <w:rFonts w:ascii="Arial" w:hAnsi="Arial" w:cs="Arial"/>
          <w:szCs w:val="22"/>
        </w:rPr>
        <w:t>”), either from itself as liquidity provider, in substantially the form used in conjunction with the sale of the 2023 Series C Bonds, or from a financial organization as liquidity provider, in substantially the form used in conjunction with the sale of the 2023 Series I Bonds, relating to any Series Bonds which have a tender right.  The Authority also hereby approves the use of a remarketing agreement (“</w:t>
      </w:r>
      <w:r w:rsidRPr="00401E65">
        <w:rPr>
          <w:rFonts w:ascii="Arial" w:hAnsi="Arial" w:cs="Arial"/>
          <w:b/>
          <w:bCs/>
          <w:szCs w:val="22"/>
        </w:rPr>
        <w:t>Remarketing Agreement</w:t>
      </w:r>
      <w:r w:rsidRPr="00401E65">
        <w:rPr>
          <w:rFonts w:ascii="Arial" w:hAnsi="Arial" w:cs="Arial"/>
          <w:szCs w:val="22"/>
        </w:rPr>
        <w:t>”), relating to any Series Bonds which have a tender right, in substantially the form used in conjunction with the sale of the 2023 Series I Bonds.  Each Authorized Officer is authorized to execute, deliver and/or seal, as necessary, a CCA, SBPA and/or Remarketing Agreement in connection with the issuance of any Series Bonds, with such changes, modifications, additions and deletions therein as such Authorized Officer determines to be in the best interests of the Authority or as may seem necessary, desirable, appropriate or advisable in anticipation of the issuance and/or sale of the applicable Series Bonds.</w:t>
      </w:r>
    </w:p>
    <w:p w14:paraId="1A98EB6F" w14:textId="77777777" w:rsidR="000057CE" w:rsidRPr="00401E65" w:rsidRDefault="000057CE" w:rsidP="00791877">
      <w:pPr>
        <w:pStyle w:val="BodyText"/>
        <w:spacing w:after="0"/>
        <w:ind w:left="720" w:firstLine="0"/>
        <w:rPr>
          <w:rFonts w:ascii="Arial" w:hAnsi="Arial" w:cs="Arial"/>
          <w:sz w:val="22"/>
          <w:szCs w:val="22"/>
        </w:rPr>
      </w:pPr>
      <w:r w:rsidRPr="00401E65">
        <w:rPr>
          <w:rFonts w:ascii="Arial" w:hAnsi="Arial" w:cs="Arial"/>
          <w:sz w:val="22"/>
          <w:szCs w:val="22"/>
        </w:rPr>
        <w:t xml:space="preserve">The Authority further authorizes the Authorized Officers to take </w:t>
      </w:r>
      <w:proofErr w:type="gramStart"/>
      <w:r w:rsidRPr="00401E65">
        <w:rPr>
          <w:rFonts w:ascii="Arial" w:hAnsi="Arial" w:cs="Arial"/>
          <w:sz w:val="22"/>
          <w:szCs w:val="22"/>
        </w:rPr>
        <w:t>any and all</w:t>
      </w:r>
      <w:proofErr w:type="gramEnd"/>
      <w:r w:rsidRPr="00401E65">
        <w:rPr>
          <w:rFonts w:ascii="Arial" w:hAnsi="Arial" w:cs="Arial"/>
          <w:sz w:val="22"/>
          <w:szCs w:val="22"/>
        </w:rPr>
        <w:t xml:space="preserve"> actions necessary to provide and deliver a self-liquidity SBPA in connection with any Series Bonds bearing interest at variable rates.</w:t>
      </w:r>
    </w:p>
    <w:p w14:paraId="778CBDCA" w14:textId="77777777" w:rsidR="000057CE" w:rsidRPr="00401E65" w:rsidRDefault="000057CE" w:rsidP="000057CE">
      <w:pPr>
        <w:pStyle w:val="BodyText"/>
        <w:spacing w:after="0"/>
        <w:ind w:firstLine="0"/>
        <w:rPr>
          <w:rFonts w:ascii="Arial" w:hAnsi="Arial" w:cs="Arial"/>
          <w:sz w:val="22"/>
          <w:szCs w:val="22"/>
        </w:rPr>
      </w:pPr>
    </w:p>
    <w:p w14:paraId="6D59DE9F" w14:textId="77777777" w:rsidR="000057CE" w:rsidRDefault="000057CE" w:rsidP="00DA154C">
      <w:pPr>
        <w:pStyle w:val="ArticleL3"/>
        <w:numPr>
          <w:ilvl w:val="2"/>
          <w:numId w:val="38"/>
        </w:numPr>
        <w:tabs>
          <w:tab w:val="clear" w:pos="2160"/>
        </w:tabs>
        <w:spacing w:after="0"/>
        <w:ind w:firstLine="0"/>
        <w:rPr>
          <w:rFonts w:ascii="Arial" w:hAnsi="Arial" w:cs="Arial"/>
        </w:rPr>
      </w:pPr>
      <w:r w:rsidRPr="00401E65">
        <w:rPr>
          <w:rFonts w:ascii="Arial" w:hAnsi="Arial" w:cs="Arial"/>
          <w:b/>
          <w:bCs/>
          <w:i/>
          <w:iCs/>
        </w:rPr>
        <w:t xml:space="preserve">Authority To Execute and Deliver Additional Documents and General Authorization; Authority </w:t>
      </w:r>
      <w:proofErr w:type="gramStart"/>
      <w:r w:rsidRPr="00401E65">
        <w:rPr>
          <w:rFonts w:ascii="Arial" w:hAnsi="Arial" w:cs="Arial"/>
          <w:b/>
          <w:bCs/>
          <w:i/>
          <w:iCs/>
        </w:rPr>
        <w:t>To</w:t>
      </w:r>
      <w:proofErr w:type="gramEnd"/>
      <w:r w:rsidRPr="00401E65">
        <w:rPr>
          <w:rFonts w:ascii="Arial" w:hAnsi="Arial" w:cs="Arial"/>
          <w:b/>
          <w:bCs/>
          <w:i/>
          <w:iCs/>
        </w:rPr>
        <w:t xml:space="preserve"> Designate Parties</w:t>
      </w:r>
      <w:r w:rsidRPr="00401E65">
        <w:rPr>
          <w:rFonts w:ascii="Arial" w:hAnsi="Arial" w:cs="Arial"/>
        </w:rPr>
        <w:t>.  The Authorized Officers are hereby authorized to execute and deliver for and on behalf of the Authority any and all additional certificates and documents, including, but not limited to, any credit enhancement or investment agreement regarding the funds and accounts with respect to any Series Bonds, in each case as may be necessary and which will not adversely affect the ratings on the Bonds outstanding, such terms to be as approved by an Authorized Officer.  Without in any way limiting the power, authority or discretion elsewhere herein granted or delegated, the Authority hereby authorizes and directs all of the officers and employees of the Authority to perform or cause to be performed such obligations of the Authority and such other actions as they, in consultation with counsel to the Authority, shall consider necessary or desirable in connection with or in furtherance of the Bond Resolution,  this Series Resolution and the Series Determinations and the transactions contemplated by the documents and agreements identified or contemplated in the Bond Resolution, this Series Resolution and the Series Determinations.  The execution and delivery by any such officer of the Authority of any of such documents, instruments or certifications, or the performance of any act in connection with any of the matters which are the subject of the Bond Resolution, this Series Resolution and the Series Determinations, shall constitute conclusive evidence of the approval thereof of such officer and the Authority and shall conclusively establish such officer’s absolute, unconditional and irrevocable authority with respect thereto from the Authority and the approval and ratification by the Authority of the documents, instruments and certifications so executed and the action so taken.</w:t>
      </w:r>
    </w:p>
    <w:p w14:paraId="1B2F1D7D" w14:textId="77777777" w:rsidR="00DA154C" w:rsidRPr="00DA154C" w:rsidRDefault="00DA154C" w:rsidP="00DA154C">
      <w:pPr>
        <w:pStyle w:val="BodyText"/>
        <w:spacing w:after="0"/>
        <w:jc w:val="left"/>
      </w:pPr>
    </w:p>
    <w:p w14:paraId="45EF43C1" w14:textId="77777777" w:rsidR="000057CE" w:rsidRPr="00401E65" w:rsidRDefault="000057CE" w:rsidP="00791877">
      <w:pPr>
        <w:pStyle w:val="ArticleL2"/>
        <w:spacing w:after="0"/>
        <w:ind w:left="720" w:firstLine="0"/>
        <w:rPr>
          <w:rFonts w:ascii="Arial" w:hAnsi="Arial" w:cs="Arial"/>
          <w:szCs w:val="22"/>
        </w:rPr>
      </w:pPr>
      <w:r w:rsidRPr="00401E65">
        <w:rPr>
          <w:rFonts w:ascii="Arial" w:hAnsi="Arial" w:cs="Arial"/>
          <w:b/>
          <w:bCs/>
          <w:szCs w:val="22"/>
        </w:rPr>
        <w:t xml:space="preserve">  </w:t>
      </w:r>
      <w:r w:rsidRPr="00401E65">
        <w:rPr>
          <w:rFonts w:ascii="Arial" w:hAnsi="Arial" w:cs="Arial"/>
          <w:b/>
          <w:iCs/>
          <w:szCs w:val="22"/>
        </w:rPr>
        <w:t>Refunding of Refunded Bonds</w:t>
      </w:r>
      <w:r w:rsidRPr="00401E65">
        <w:rPr>
          <w:rFonts w:ascii="Arial" w:hAnsi="Arial" w:cs="Arial"/>
          <w:szCs w:val="22"/>
        </w:rPr>
        <w:t xml:space="preserve">.  The Authority hereby authorizes the use of such portion, if any, of the proceeds made available upon issuance of the Series Bonds to be used to refund, retire, redeem (including pursuant to an optional redemption), </w:t>
      </w:r>
      <w:proofErr w:type="spellStart"/>
      <w:r w:rsidRPr="00401E65">
        <w:rPr>
          <w:rFonts w:ascii="Arial" w:hAnsi="Arial" w:cs="Arial"/>
          <w:szCs w:val="22"/>
        </w:rPr>
        <w:t>defease</w:t>
      </w:r>
      <w:proofErr w:type="spellEnd"/>
      <w:r w:rsidRPr="00401E65">
        <w:rPr>
          <w:rFonts w:ascii="Arial" w:hAnsi="Arial" w:cs="Arial"/>
          <w:szCs w:val="22"/>
        </w:rPr>
        <w:t xml:space="preserve"> or pay all or a portion of any Refunded Bonds in such amounts as determined in accordance with Article II hereof.  Any Refunded Bonds shall be identified in the related Series Determinations.  Each Authorized Officer is hereby authorized and directed to take such actions and execute such documents and agreements as required to cause the refunding, retirement, redemption, defeasance or payment of the Refunded Bonds, including, but not limited to, executing any necessary amendments or supplemental resolutions with respect to the Refunded Bonds in order to cause the refunding, retirement, redemption, defeasance or payment thereof.</w:t>
      </w:r>
    </w:p>
    <w:p w14:paraId="07070CFF" w14:textId="77777777" w:rsidR="000057CE" w:rsidRPr="00401E65" w:rsidRDefault="000057CE" w:rsidP="000057CE">
      <w:pPr>
        <w:pStyle w:val="BodyText"/>
        <w:spacing w:after="0"/>
        <w:rPr>
          <w:rFonts w:ascii="Arial" w:hAnsi="Arial" w:cs="Arial"/>
        </w:rPr>
      </w:pPr>
    </w:p>
    <w:p w14:paraId="348A49DC" w14:textId="77777777" w:rsidR="000057CE" w:rsidRPr="00401E65" w:rsidRDefault="000057CE" w:rsidP="000057CE">
      <w:pPr>
        <w:pStyle w:val="ArticleL1"/>
        <w:tabs>
          <w:tab w:val="clear" w:pos="720"/>
        </w:tabs>
        <w:spacing w:after="0"/>
        <w:rPr>
          <w:rFonts w:ascii="Arial" w:hAnsi="Arial" w:cs="Arial"/>
          <w:szCs w:val="22"/>
        </w:rPr>
      </w:pPr>
      <w:r w:rsidRPr="00401E65">
        <w:rPr>
          <w:rFonts w:ascii="Arial" w:hAnsi="Arial" w:cs="Arial"/>
          <w:szCs w:val="22"/>
        </w:rPr>
        <w:br/>
      </w:r>
      <w:r w:rsidRPr="00401E65">
        <w:rPr>
          <w:rFonts w:ascii="Arial" w:hAnsi="Arial" w:cs="Arial"/>
          <w:szCs w:val="22"/>
        </w:rPr>
        <w:br/>
        <w:t>TERMS OF THE SERIES BONDS</w:t>
      </w:r>
    </w:p>
    <w:p w14:paraId="384051BE" w14:textId="77777777" w:rsidR="000057CE" w:rsidRPr="00401E65" w:rsidRDefault="000057CE" w:rsidP="000057CE">
      <w:pPr>
        <w:pStyle w:val="BodyText"/>
        <w:spacing w:after="0"/>
        <w:rPr>
          <w:rFonts w:ascii="Arial" w:hAnsi="Arial" w:cs="Arial"/>
        </w:rPr>
      </w:pPr>
    </w:p>
    <w:p w14:paraId="168CB12E" w14:textId="77777777" w:rsidR="000057CE" w:rsidRPr="00401E65" w:rsidRDefault="000057CE" w:rsidP="00791877">
      <w:pPr>
        <w:pStyle w:val="ArticleL3"/>
        <w:numPr>
          <w:ilvl w:val="0"/>
          <w:numId w:val="0"/>
        </w:numPr>
        <w:spacing w:after="0"/>
        <w:ind w:left="720"/>
        <w:rPr>
          <w:rFonts w:ascii="Arial" w:hAnsi="Arial" w:cs="Arial"/>
          <w:szCs w:val="22"/>
        </w:rPr>
      </w:pPr>
      <w:r w:rsidRPr="00401E65">
        <w:rPr>
          <w:rFonts w:ascii="Arial" w:hAnsi="Arial" w:cs="Arial"/>
          <w:szCs w:val="22"/>
        </w:rPr>
        <w:t xml:space="preserve">Series Bonds shall contain such terms, covenants and conditions as set forth in the Bond Resolution, this Series Resolution and the Series Determinations; provided, however, that the aggregate principal amount of Series Bonds issued shall not exceed $250,000,000, and that the Series Bonds shall mature no later than 40 years from the date of issuance and shall bear an interest rate not to exceed 8% per annum with respect to any fixed rate bonds and 15% per annum with respect to any variable rate bonds. </w:t>
      </w:r>
    </w:p>
    <w:p w14:paraId="2E75EC4E" w14:textId="77777777" w:rsidR="000057CE" w:rsidRPr="00401E65" w:rsidRDefault="000057CE" w:rsidP="000057CE">
      <w:pPr>
        <w:pStyle w:val="BodyText"/>
        <w:spacing w:after="0"/>
        <w:rPr>
          <w:rFonts w:ascii="Arial" w:hAnsi="Arial" w:cs="Arial"/>
        </w:rPr>
      </w:pPr>
    </w:p>
    <w:p w14:paraId="7CF747D2" w14:textId="77777777" w:rsidR="000057CE" w:rsidRPr="00401E65" w:rsidRDefault="000057CE" w:rsidP="00791877">
      <w:pPr>
        <w:pStyle w:val="ArticleL3"/>
        <w:numPr>
          <w:ilvl w:val="0"/>
          <w:numId w:val="0"/>
        </w:numPr>
        <w:spacing w:after="0"/>
        <w:ind w:left="720"/>
        <w:rPr>
          <w:rFonts w:ascii="Arial" w:hAnsi="Arial" w:cs="Arial"/>
          <w:szCs w:val="22"/>
        </w:rPr>
      </w:pPr>
      <w:r w:rsidRPr="00401E65">
        <w:rPr>
          <w:rFonts w:ascii="Arial" w:hAnsi="Arial" w:cs="Arial"/>
          <w:szCs w:val="22"/>
        </w:rPr>
        <w:t>The terms of the Series Bonds and the determination of the Refunded Bonds to be refunded, if any, are subject to authorization and approval as follows: The Executive Director (or the Director of Finance and Administration if the Executive Director is not available) shall consult and coordinate with the Chair (or the Vice Chair if the Chair is not available) with respect to the final terms of the Series Bonds; and after such consultation, the Executive Director (or the Director of Finance and Administration if the Executive Director is not available) is authorized (subject in all cases to the limitations otherwise set forth herein) to determine the final size of the Series Bonds and to negotiate with the Original Purchaser the final terms of the Series Bonds, including the maturities and maturity dates, interest rates (including final fixed interest rates or initial variable interest rates and method of determination of subsequent fixed or variable rates and modes) and interest payment dates, tender provisions, provisions of any SBPA (which may initially be self</w:t>
      </w:r>
      <w:r w:rsidRPr="00401E65">
        <w:rPr>
          <w:rFonts w:ascii="Arial" w:hAnsi="Arial" w:cs="Arial"/>
          <w:szCs w:val="22"/>
        </w:rPr>
        <w:noBreakHyphen/>
        <w:t xml:space="preserve">liquidity), redemption provisions (if any), denominations, the Capital Reserve Requirement, the Mortgage Reserve Requirement, the sale price to the Underwriter and the net underwriting fee (not to exceed 1.50% of the principal amount of each Series), the determination and identification of any Refunded Bonds, any bondholder rights, and such other terms as prescribed by the Bond Resolution. </w:t>
      </w:r>
    </w:p>
    <w:p w14:paraId="358B3B2D" w14:textId="77777777" w:rsidR="000057CE" w:rsidRPr="00401E65" w:rsidRDefault="000057CE" w:rsidP="000057CE">
      <w:pPr>
        <w:pStyle w:val="BodyText"/>
        <w:spacing w:after="0"/>
        <w:rPr>
          <w:rFonts w:ascii="Arial" w:hAnsi="Arial" w:cs="Arial"/>
        </w:rPr>
      </w:pPr>
    </w:p>
    <w:p w14:paraId="3969F8CD" w14:textId="77777777" w:rsidR="000057CE" w:rsidRPr="00401E65" w:rsidRDefault="000057CE" w:rsidP="000057CE">
      <w:pPr>
        <w:pStyle w:val="ArticleL1"/>
        <w:tabs>
          <w:tab w:val="clear" w:pos="720"/>
        </w:tabs>
        <w:spacing w:after="0"/>
        <w:rPr>
          <w:rFonts w:ascii="Arial" w:hAnsi="Arial" w:cs="Arial"/>
          <w:szCs w:val="22"/>
        </w:rPr>
      </w:pPr>
      <w:r w:rsidRPr="00401E65">
        <w:rPr>
          <w:rFonts w:ascii="Arial" w:hAnsi="Arial" w:cs="Arial"/>
          <w:szCs w:val="22"/>
        </w:rPr>
        <w:br/>
      </w:r>
      <w:r w:rsidRPr="00401E65">
        <w:rPr>
          <w:rFonts w:ascii="Arial" w:hAnsi="Arial" w:cs="Arial"/>
          <w:szCs w:val="22"/>
        </w:rPr>
        <w:br/>
        <w:t>TAX STATUS OF SERIES BONDS; REIMBURSEMENT</w:t>
      </w:r>
    </w:p>
    <w:p w14:paraId="317AA6F1" w14:textId="77777777" w:rsidR="000057CE" w:rsidRPr="00401E65" w:rsidRDefault="000057CE" w:rsidP="000057CE">
      <w:pPr>
        <w:pStyle w:val="BodyText"/>
        <w:spacing w:after="0"/>
        <w:rPr>
          <w:rFonts w:ascii="Arial" w:hAnsi="Arial" w:cs="Arial"/>
        </w:rPr>
      </w:pPr>
    </w:p>
    <w:p w14:paraId="4963368E" w14:textId="77777777" w:rsidR="000057CE" w:rsidRPr="00401E65" w:rsidRDefault="000057CE" w:rsidP="00F5362E">
      <w:pPr>
        <w:pStyle w:val="ArticleL2"/>
        <w:keepNext/>
        <w:spacing w:after="0"/>
        <w:ind w:left="720" w:firstLine="0"/>
        <w:rPr>
          <w:rFonts w:ascii="Arial" w:hAnsi="Arial" w:cs="Arial"/>
          <w:szCs w:val="22"/>
        </w:rPr>
      </w:pPr>
      <w:r w:rsidRPr="00401E65">
        <w:rPr>
          <w:rFonts w:ascii="Arial" w:hAnsi="Arial" w:cs="Arial"/>
          <w:b/>
          <w:bCs/>
          <w:szCs w:val="22"/>
        </w:rPr>
        <w:t xml:space="preserve">  </w:t>
      </w:r>
      <w:r w:rsidRPr="00401E65">
        <w:rPr>
          <w:rFonts w:ascii="Arial" w:hAnsi="Arial" w:cs="Arial"/>
          <w:b/>
          <w:iCs/>
          <w:szCs w:val="22"/>
        </w:rPr>
        <w:t>Applicability of Income Taxation</w:t>
      </w:r>
      <w:r w:rsidRPr="00401E65">
        <w:rPr>
          <w:rFonts w:ascii="Arial" w:hAnsi="Arial" w:cs="Arial"/>
          <w:iCs/>
          <w:szCs w:val="22"/>
        </w:rPr>
        <w:t>.</w:t>
      </w:r>
      <w:r w:rsidRPr="00401E65">
        <w:rPr>
          <w:rFonts w:ascii="Arial" w:hAnsi="Arial" w:cs="Arial"/>
          <w:szCs w:val="22"/>
        </w:rPr>
        <w:t xml:space="preserve">  In connection with the sale and issuance of the Series Bonds, any Authorized Officer may designate (as evidenced by her or his execution of the related Series Determinations or other instrument), taking into account the best interests of the Authority (a) that principal amount of any Series Bonds (up to 100% of the amount thereof) with respect to which the Authority elects that the corresponding interest payments shall not be includable in the gross income of the owners thereof for purposes of federal income taxation and (b) that principal amount of any Series Bonds (up to 100% of the principal amount thereof) with respect to which the Authority elects that the corresponding interest payments shall be includable in the gross income of the owners thereof for purposes of federal income taxation, in each case in accordance with federal tax laws.</w:t>
      </w:r>
    </w:p>
    <w:p w14:paraId="7E30B89A" w14:textId="77777777" w:rsidR="000057CE" w:rsidRPr="00401E65" w:rsidRDefault="000057CE" w:rsidP="000057CE">
      <w:pPr>
        <w:pStyle w:val="BodyText"/>
        <w:spacing w:after="0"/>
        <w:rPr>
          <w:rFonts w:ascii="Arial" w:hAnsi="Arial" w:cs="Arial"/>
        </w:rPr>
      </w:pPr>
    </w:p>
    <w:p w14:paraId="2E26F60A" w14:textId="77777777" w:rsidR="000057CE" w:rsidRPr="00401E65" w:rsidRDefault="000057CE" w:rsidP="00F5362E">
      <w:pPr>
        <w:pStyle w:val="ArticleL2"/>
        <w:spacing w:after="0"/>
        <w:ind w:left="720" w:firstLine="0"/>
        <w:rPr>
          <w:rFonts w:ascii="Arial" w:hAnsi="Arial" w:cs="Arial"/>
          <w:szCs w:val="22"/>
        </w:rPr>
      </w:pPr>
      <w:r w:rsidRPr="00401E65">
        <w:rPr>
          <w:rFonts w:ascii="Arial" w:hAnsi="Arial" w:cs="Arial"/>
          <w:szCs w:val="22"/>
        </w:rPr>
        <w:t xml:space="preserve">  </w:t>
      </w:r>
      <w:r w:rsidRPr="00401E65">
        <w:rPr>
          <w:rFonts w:ascii="Arial" w:hAnsi="Arial" w:cs="Arial"/>
          <w:b/>
          <w:iCs/>
          <w:szCs w:val="22"/>
        </w:rPr>
        <w:t>Intent to Reimburse</w:t>
      </w:r>
      <w:r w:rsidRPr="00401E65">
        <w:rPr>
          <w:rFonts w:ascii="Arial" w:hAnsi="Arial" w:cs="Arial"/>
          <w:szCs w:val="22"/>
        </w:rPr>
        <w:t>.  The Authority hereby declares its intention, within the meaning of Section 1.150-2 of the Internal Revenue Code regulations, to facilitate continuous funding of the Program by, from time to time, financing mortgage loans and then issuing bonds in one or more series within 18 months thereof to reimburse itself for such financing, all in an amount presently expected to not exceed the amount of the Series Bonds authorized by Article I hereof, and hereby confirms that the Executive Director has been and continues to be authorized to also so declare the intention of the Authority within the meaning of said Section 1.150-2 to issue bonds to reimburse itself for the financing of mortgage loans, provided that the final amount of any such bond issuances shall be determined only by subsequent action of the Authority and any such declaration does not authorize or obligate the Authority to issue any such bonds.</w:t>
      </w:r>
    </w:p>
    <w:p w14:paraId="27B9AE7B" w14:textId="77777777" w:rsidR="000057CE" w:rsidRPr="00401E65" w:rsidRDefault="000057CE" w:rsidP="000057CE">
      <w:pPr>
        <w:pStyle w:val="BodyText"/>
        <w:spacing w:after="0"/>
        <w:rPr>
          <w:rFonts w:ascii="Arial" w:hAnsi="Arial" w:cs="Arial"/>
        </w:rPr>
      </w:pPr>
    </w:p>
    <w:p w14:paraId="19677E27" w14:textId="77777777" w:rsidR="000057CE" w:rsidRPr="00401E65" w:rsidRDefault="000057CE" w:rsidP="000057CE">
      <w:pPr>
        <w:pStyle w:val="ArticleL1"/>
        <w:keepLines w:val="0"/>
        <w:tabs>
          <w:tab w:val="clear" w:pos="720"/>
        </w:tabs>
        <w:spacing w:after="0"/>
        <w:rPr>
          <w:rFonts w:ascii="Arial" w:hAnsi="Arial" w:cs="Arial"/>
          <w:szCs w:val="22"/>
        </w:rPr>
      </w:pPr>
      <w:r w:rsidRPr="00401E65">
        <w:rPr>
          <w:rFonts w:ascii="Arial" w:hAnsi="Arial" w:cs="Arial"/>
          <w:szCs w:val="22"/>
        </w:rPr>
        <w:br/>
      </w:r>
      <w:r w:rsidRPr="00401E65">
        <w:rPr>
          <w:rFonts w:ascii="Arial" w:hAnsi="Arial" w:cs="Arial"/>
          <w:szCs w:val="22"/>
        </w:rPr>
        <w:br/>
        <w:t>EFFECTIVE DATE</w:t>
      </w:r>
    </w:p>
    <w:p w14:paraId="325F4D00" w14:textId="77777777" w:rsidR="000057CE" w:rsidRPr="00401E65" w:rsidRDefault="000057CE" w:rsidP="000057CE">
      <w:pPr>
        <w:pStyle w:val="BodyText"/>
        <w:spacing w:after="0"/>
        <w:rPr>
          <w:rFonts w:ascii="Arial" w:hAnsi="Arial" w:cs="Arial"/>
        </w:rPr>
      </w:pPr>
    </w:p>
    <w:p w14:paraId="0D19C0A3" w14:textId="77777777" w:rsidR="000057CE" w:rsidRPr="00401E65" w:rsidRDefault="000057CE" w:rsidP="00F5362E">
      <w:pPr>
        <w:pStyle w:val="BodyText"/>
        <w:keepNext/>
        <w:spacing w:after="0"/>
        <w:rPr>
          <w:rFonts w:ascii="Arial" w:hAnsi="Arial" w:cs="Arial"/>
          <w:sz w:val="22"/>
          <w:szCs w:val="22"/>
        </w:rPr>
      </w:pPr>
      <w:r w:rsidRPr="00401E65">
        <w:rPr>
          <w:rFonts w:ascii="Arial" w:hAnsi="Arial" w:cs="Arial"/>
          <w:sz w:val="22"/>
          <w:szCs w:val="22"/>
        </w:rPr>
        <w:t>This Series Resolution shall take effect immediately.</w:t>
      </w:r>
    </w:p>
    <w:p w14:paraId="39333F54" w14:textId="77777777" w:rsidR="008108D4" w:rsidRDefault="008108D4" w:rsidP="008B2230">
      <w:pPr>
        <w:rPr>
          <w:rFonts w:cs="Arial"/>
        </w:rPr>
      </w:pPr>
    </w:p>
    <w:p w14:paraId="4A68231F" w14:textId="2C08CCEC" w:rsidR="00224DBF" w:rsidRDefault="00224DBF" w:rsidP="008B2230">
      <w:r w:rsidRPr="00224DBF">
        <w:t>Motion passed by a voice vote.</w:t>
      </w:r>
    </w:p>
    <w:p w14:paraId="2217CF1C" w14:textId="77777777" w:rsidR="00ED05F0" w:rsidRDefault="00ED05F0" w:rsidP="00224DBF"/>
    <w:p w14:paraId="16A34F90" w14:textId="77777777" w:rsidR="00C2173B" w:rsidRDefault="00C2173B" w:rsidP="00C2173B"/>
    <w:p w14:paraId="482D09FF" w14:textId="76152612" w:rsidR="00591718" w:rsidRDefault="00591718" w:rsidP="007D5673">
      <w:pPr>
        <w:pStyle w:val="Heading1"/>
        <w:spacing w:before="0" w:line="240" w:lineRule="auto"/>
      </w:pPr>
      <w:r>
        <w:t xml:space="preserve">DATE OF NEXT MEETING AND ADJOURNMENT </w:t>
      </w:r>
    </w:p>
    <w:p w14:paraId="4E57ABE8" w14:textId="77777777" w:rsidR="00121C07" w:rsidRPr="00121C07" w:rsidRDefault="00121C07" w:rsidP="00121C07"/>
    <w:p w14:paraId="5ADC047E" w14:textId="1293DE9F" w:rsidR="00591718" w:rsidRDefault="00591718" w:rsidP="00334DA7">
      <w:pPr>
        <w:pStyle w:val="Default"/>
        <w:ind w:left="720" w:firstLine="0"/>
        <w:rPr>
          <w:sz w:val="22"/>
          <w:szCs w:val="22"/>
        </w:rPr>
      </w:pPr>
      <w:r>
        <w:rPr>
          <w:sz w:val="22"/>
          <w:szCs w:val="22"/>
        </w:rPr>
        <w:t>The next Board of Commissioners’ Meeting is scheduled for</w:t>
      </w:r>
      <w:r w:rsidR="00BA1FB1">
        <w:rPr>
          <w:sz w:val="22"/>
          <w:szCs w:val="22"/>
        </w:rPr>
        <w:t xml:space="preserve"> </w:t>
      </w:r>
      <w:r w:rsidR="00F5362E">
        <w:rPr>
          <w:sz w:val="22"/>
          <w:szCs w:val="22"/>
        </w:rPr>
        <w:t>February</w:t>
      </w:r>
      <w:r w:rsidR="00BA1FB1">
        <w:rPr>
          <w:sz w:val="22"/>
          <w:szCs w:val="22"/>
        </w:rPr>
        <w:t xml:space="preserve"> 1</w:t>
      </w:r>
      <w:r w:rsidR="00F5362E">
        <w:rPr>
          <w:sz w:val="22"/>
          <w:szCs w:val="22"/>
        </w:rPr>
        <w:t>1</w:t>
      </w:r>
      <w:r>
        <w:rPr>
          <w:sz w:val="22"/>
          <w:szCs w:val="22"/>
        </w:rPr>
        <w:t xml:space="preserve">, </w:t>
      </w:r>
      <w:r w:rsidR="00134529">
        <w:rPr>
          <w:sz w:val="22"/>
          <w:szCs w:val="22"/>
        </w:rPr>
        <w:t>202</w:t>
      </w:r>
      <w:r w:rsidR="0091598C">
        <w:rPr>
          <w:sz w:val="22"/>
          <w:szCs w:val="22"/>
        </w:rPr>
        <w:t>5</w:t>
      </w:r>
      <w:r w:rsidR="00134529">
        <w:rPr>
          <w:sz w:val="22"/>
          <w:szCs w:val="22"/>
        </w:rPr>
        <w:t>,</w:t>
      </w:r>
      <w:r w:rsidR="00AC7E88">
        <w:rPr>
          <w:sz w:val="22"/>
          <w:szCs w:val="22"/>
        </w:rPr>
        <w:t xml:space="preserve"> and will be </w:t>
      </w:r>
      <w:r w:rsidR="00BA1FB1">
        <w:rPr>
          <w:sz w:val="22"/>
          <w:szCs w:val="22"/>
        </w:rPr>
        <w:t>telephonic</w:t>
      </w:r>
      <w:r>
        <w:rPr>
          <w:sz w:val="22"/>
          <w:szCs w:val="22"/>
        </w:rPr>
        <w:t>. It was moved by Commissioner</w:t>
      </w:r>
      <w:r w:rsidR="003A6843">
        <w:rPr>
          <w:sz w:val="22"/>
          <w:szCs w:val="22"/>
        </w:rPr>
        <w:t xml:space="preserve"> </w:t>
      </w:r>
      <w:r w:rsidR="0050262E">
        <w:rPr>
          <w:sz w:val="22"/>
          <w:szCs w:val="22"/>
        </w:rPr>
        <w:t>Jensen</w:t>
      </w:r>
      <w:r>
        <w:rPr>
          <w:sz w:val="22"/>
          <w:szCs w:val="22"/>
        </w:rPr>
        <w:t xml:space="preserve"> and seconded by Commissioner </w:t>
      </w:r>
      <w:r w:rsidR="00F5362E">
        <w:rPr>
          <w:sz w:val="22"/>
          <w:szCs w:val="22"/>
        </w:rPr>
        <w:t>Roby</w:t>
      </w:r>
      <w:r>
        <w:rPr>
          <w:sz w:val="22"/>
          <w:szCs w:val="22"/>
        </w:rPr>
        <w:t xml:space="preserve"> that the meeting adjourn.</w:t>
      </w:r>
    </w:p>
    <w:p w14:paraId="02E558ED" w14:textId="095335EB" w:rsidR="00591718" w:rsidRDefault="00591718" w:rsidP="001A2E25">
      <w:pPr>
        <w:pStyle w:val="Default"/>
        <w:rPr>
          <w:sz w:val="22"/>
          <w:szCs w:val="22"/>
        </w:rPr>
      </w:pPr>
    </w:p>
    <w:p w14:paraId="3391350B" w14:textId="44D74C93" w:rsidR="00591718" w:rsidRDefault="00591718" w:rsidP="00591718">
      <w:pPr>
        <w:pStyle w:val="Default"/>
        <w:rPr>
          <w:sz w:val="22"/>
          <w:szCs w:val="22"/>
        </w:rPr>
      </w:pPr>
      <w:r>
        <w:rPr>
          <w:sz w:val="22"/>
          <w:szCs w:val="22"/>
        </w:rPr>
        <w:t>Motion passed by a voice vote.</w:t>
      </w:r>
    </w:p>
    <w:p w14:paraId="7957EB7D" w14:textId="77777777" w:rsidR="00591718" w:rsidRDefault="00591718" w:rsidP="00591718">
      <w:pPr>
        <w:pStyle w:val="Default"/>
        <w:rPr>
          <w:sz w:val="22"/>
          <w:szCs w:val="22"/>
        </w:rPr>
      </w:pPr>
    </w:p>
    <w:p w14:paraId="7A32ACEB" w14:textId="556984BF" w:rsidR="00DC3B9D" w:rsidRDefault="00591718" w:rsidP="00334DA7">
      <w:pPr>
        <w:spacing w:line="240" w:lineRule="auto"/>
      </w:pPr>
      <w:r>
        <w:t>The meeting adjourned at</w:t>
      </w:r>
      <w:r w:rsidR="004C2EE1">
        <w:t xml:space="preserve"> </w:t>
      </w:r>
      <w:r w:rsidR="00F5362E">
        <w:t>2</w:t>
      </w:r>
      <w:r>
        <w:t>:</w:t>
      </w:r>
      <w:r w:rsidR="00F5362E">
        <w:t>06</w:t>
      </w:r>
      <w:r>
        <w:t xml:space="preserve"> </w:t>
      </w:r>
      <w:r w:rsidR="00BA1FB1">
        <w:t>p</w:t>
      </w:r>
      <w:r>
        <w:t>.m.</w:t>
      </w:r>
    </w:p>
    <w:p w14:paraId="51C5B377" w14:textId="77777777" w:rsidR="00406A63" w:rsidRDefault="00406A63" w:rsidP="00591718">
      <w:pPr>
        <w:spacing w:line="240" w:lineRule="auto"/>
        <w:rPr>
          <w:rFonts w:cs="Arial"/>
        </w:rPr>
      </w:pPr>
    </w:p>
    <w:p w14:paraId="0520BE5E" w14:textId="52A5FC92" w:rsidR="00DC3B9D" w:rsidRDefault="00DC3B9D" w:rsidP="00591718">
      <w:pPr>
        <w:spacing w:line="240" w:lineRule="auto"/>
        <w:rPr>
          <w:rFonts w:cs="Arial"/>
        </w:rPr>
      </w:pPr>
      <w:r w:rsidRPr="00462610">
        <w:rPr>
          <w:rFonts w:cs="Arial"/>
        </w:rPr>
        <w:t>Respectfully submitted,</w:t>
      </w:r>
    </w:p>
    <w:p w14:paraId="0D7E38A2" w14:textId="77777777" w:rsidR="001E7C52" w:rsidRDefault="001E7C52" w:rsidP="00591718">
      <w:pPr>
        <w:spacing w:line="240" w:lineRule="auto"/>
        <w:rPr>
          <w:rFonts w:cs="Arial"/>
        </w:rPr>
      </w:pPr>
    </w:p>
    <w:p w14:paraId="052FE584" w14:textId="77777777" w:rsidR="001E7C52" w:rsidRPr="00462610" w:rsidRDefault="001E7C52" w:rsidP="00591718">
      <w:pPr>
        <w:spacing w:line="240" w:lineRule="auto"/>
        <w:rPr>
          <w:rFonts w:cs="Arial"/>
        </w:rPr>
      </w:pPr>
    </w:p>
    <w:p w14:paraId="5433CD86" w14:textId="79D05F22" w:rsidR="00DC3B9D" w:rsidRDefault="00DC3B9D" w:rsidP="008F21E6">
      <w:pPr>
        <w:spacing w:line="240" w:lineRule="auto"/>
        <w:rPr>
          <w:rFonts w:cs="Arial"/>
        </w:rPr>
      </w:pPr>
    </w:p>
    <w:p w14:paraId="39EC840C" w14:textId="2975F2C9" w:rsidR="00DC3B9D" w:rsidRPr="00462610" w:rsidRDefault="00BB7B2A" w:rsidP="00BB7B2A">
      <w:pPr>
        <w:tabs>
          <w:tab w:val="left" w:pos="1620"/>
        </w:tabs>
        <w:spacing w:line="240" w:lineRule="auto"/>
        <w:rPr>
          <w:rFonts w:cs="Arial"/>
        </w:rPr>
      </w:pPr>
      <w:r>
        <w:rPr>
          <w:rFonts w:cs="Arial"/>
        </w:rPr>
        <w:t>C</w:t>
      </w:r>
      <w:r w:rsidR="00DC3B9D" w:rsidRPr="00462610">
        <w:rPr>
          <w:rFonts w:cs="Arial"/>
        </w:rPr>
        <w:t>has Olson</w:t>
      </w:r>
    </w:p>
    <w:p w14:paraId="72A016AE" w14:textId="28FEDF68" w:rsidR="004218CC" w:rsidRDefault="00DC3B9D" w:rsidP="00962ECC">
      <w:pPr>
        <w:tabs>
          <w:tab w:val="left" w:pos="720"/>
        </w:tabs>
        <w:spacing w:line="240" w:lineRule="auto"/>
        <w:rPr>
          <w:rFonts w:cs="Arial"/>
        </w:rPr>
      </w:pPr>
      <w:r w:rsidRPr="00462610">
        <w:rPr>
          <w:rFonts w:cs="Arial"/>
        </w:rPr>
        <w:t>Secretary</w:t>
      </w:r>
      <w:r w:rsidR="00B26C03">
        <w:rPr>
          <w:rFonts w:cs="Arial"/>
        </w:rPr>
        <w:t xml:space="preserve"> </w:t>
      </w:r>
    </w:p>
    <w:p w14:paraId="655B3428" w14:textId="76ECD52B" w:rsidR="002874D5" w:rsidRPr="002874D5" w:rsidRDefault="002874D5" w:rsidP="002874D5">
      <w:pPr>
        <w:tabs>
          <w:tab w:val="left" w:pos="7830"/>
        </w:tabs>
        <w:rPr>
          <w:rFonts w:cs="Arial"/>
        </w:rPr>
      </w:pPr>
      <w:r>
        <w:rPr>
          <w:rFonts w:cs="Arial"/>
        </w:rPr>
        <w:tab/>
      </w:r>
    </w:p>
    <w:sectPr w:rsidR="002874D5" w:rsidRPr="002874D5" w:rsidSect="000057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D18E" w14:textId="77777777" w:rsidR="00AB2BF6" w:rsidRDefault="00AB2BF6" w:rsidP="00DC3B9D">
      <w:pPr>
        <w:spacing w:line="240" w:lineRule="auto"/>
      </w:pPr>
      <w:r>
        <w:separator/>
      </w:r>
    </w:p>
  </w:endnote>
  <w:endnote w:type="continuationSeparator" w:id="0">
    <w:p w14:paraId="42F4BCC1" w14:textId="77777777" w:rsidR="00AB2BF6" w:rsidRDefault="00AB2BF6" w:rsidP="00DC3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74E2" w14:textId="77777777" w:rsidR="004826B6" w:rsidRDefault="0048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E50E" w14:textId="16B95C76" w:rsidR="0042026E" w:rsidRPr="00DA5723" w:rsidRDefault="002874D5" w:rsidP="00DA5723">
    <w:pPr>
      <w:pStyle w:val="Footer"/>
      <w:rPr>
        <w:sz w:val="16"/>
        <w:szCs w:val="16"/>
      </w:rPr>
    </w:pPr>
    <w:sdt>
      <w:sdtPr>
        <w:rPr>
          <w:sz w:val="16"/>
          <w:szCs w:val="16"/>
        </w:rPr>
        <w:id w:val="18269289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DA5723">
              <w:rPr>
                <w:sz w:val="16"/>
                <w:szCs w:val="16"/>
              </w:rPr>
              <w:t>Board Minutes</w:t>
            </w:r>
            <w:r w:rsidR="00DA5723">
              <w:rPr>
                <w:sz w:val="16"/>
                <w:szCs w:val="16"/>
              </w:rPr>
              <w:tab/>
            </w:r>
            <w:r w:rsidR="00DA5723">
              <w:rPr>
                <w:sz w:val="16"/>
                <w:szCs w:val="16"/>
              </w:rPr>
              <w:tab/>
            </w:r>
            <w:r w:rsidR="00DA5723" w:rsidRPr="00DA5723">
              <w:rPr>
                <w:sz w:val="16"/>
                <w:szCs w:val="16"/>
              </w:rPr>
              <w:t xml:space="preserve">Page </w:t>
            </w:r>
            <w:r w:rsidR="00DA5723" w:rsidRPr="00DA5723">
              <w:rPr>
                <w:sz w:val="16"/>
                <w:szCs w:val="16"/>
              </w:rPr>
              <w:fldChar w:fldCharType="begin"/>
            </w:r>
            <w:r w:rsidR="00DA5723" w:rsidRPr="00DA5723">
              <w:rPr>
                <w:sz w:val="16"/>
                <w:szCs w:val="16"/>
              </w:rPr>
              <w:instrText xml:space="preserve"> PAGE </w:instrText>
            </w:r>
            <w:r w:rsidR="00DA5723" w:rsidRPr="00DA5723">
              <w:rPr>
                <w:sz w:val="16"/>
                <w:szCs w:val="16"/>
              </w:rPr>
              <w:fldChar w:fldCharType="separate"/>
            </w:r>
            <w:r w:rsidR="00DA5723" w:rsidRPr="00DA5723">
              <w:rPr>
                <w:noProof/>
                <w:sz w:val="16"/>
                <w:szCs w:val="16"/>
              </w:rPr>
              <w:t>2</w:t>
            </w:r>
            <w:r w:rsidR="00DA5723" w:rsidRPr="00DA5723">
              <w:rPr>
                <w:sz w:val="16"/>
                <w:szCs w:val="16"/>
              </w:rPr>
              <w:fldChar w:fldCharType="end"/>
            </w:r>
            <w:r w:rsidR="00DA5723" w:rsidRPr="00DA5723">
              <w:rPr>
                <w:sz w:val="16"/>
                <w:szCs w:val="16"/>
              </w:rPr>
              <w:t xml:space="preserve"> of </w:t>
            </w:r>
            <w:r w:rsidR="00DA5723" w:rsidRPr="00DA5723">
              <w:rPr>
                <w:sz w:val="16"/>
                <w:szCs w:val="16"/>
              </w:rPr>
              <w:fldChar w:fldCharType="begin"/>
            </w:r>
            <w:r w:rsidR="00DA5723" w:rsidRPr="00DA5723">
              <w:rPr>
                <w:sz w:val="16"/>
                <w:szCs w:val="16"/>
              </w:rPr>
              <w:instrText xml:space="preserve"> NUMPAGES  </w:instrText>
            </w:r>
            <w:r w:rsidR="00DA5723" w:rsidRPr="00DA5723">
              <w:rPr>
                <w:sz w:val="16"/>
                <w:szCs w:val="16"/>
              </w:rPr>
              <w:fldChar w:fldCharType="separate"/>
            </w:r>
            <w:r w:rsidR="00DA5723" w:rsidRPr="00DA5723">
              <w:rPr>
                <w:noProof/>
                <w:sz w:val="16"/>
                <w:szCs w:val="16"/>
              </w:rPr>
              <w:t>2</w:t>
            </w:r>
            <w:r w:rsidR="00DA5723" w:rsidRPr="00DA5723">
              <w:rPr>
                <w:sz w:val="16"/>
                <w:szCs w:val="16"/>
              </w:rPr>
              <w:fldChar w:fldCharType="end"/>
            </w:r>
          </w:sdtContent>
        </w:sdt>
      </w:sdtContent>
    </w:sdt>
  </w:p>
  <w:p w14:paraId="7D73DF06" w14:textId="7F5FEDA7" w:rsidR="00DA5723" w:rsidRDefault="00DA5723" w:rsidP="00491473">
    <w:pPr>
      <w:pStyle w:val="Footer"/>
      <w:tabs>
        <w:tab w:val="left" w:pos="8340"/>
        <w:tab w:val="right" w:pos="9270"/>
      </w:tabs>
    </w:pPr>
  </w:p>
  <w:p w14:paraId="40A55259" w14:textId="6D55CD20" w:rsidR="00DA5723" w:rsidRPr="00DA5723" w:rsidRDefault="00DA5723" w:rsidP="00DA5723">
    <w:pPr>
      <w:pStyle w:val="Footer"/>
      <w:tabs>
        <w:tab w:val="left" w:pos="750"/>
        <w:tab w:val="left" w:pos="8340"/>
        <w:tab w:val="right" w:pos="9270"/>
      </w:tabs>
      <w:ind w:firstLine="0"/>
      <w:jc w:val="left"/>
      <w:rPr>
        <w:sz w:val="16"/>
        <w:szCs w:val="16"/>
      </w:rPr>
    </w:pPr>
    <w:r w:rsidRPr="00DA5723">
      <w:rPr>
        <w:sz w:val="16"/>
        <w:szCs w:val="16"/>
      </w:rPr>
      <w:tab/>
    </w:r>
    <w:r w:rsidRPr="00DA5723">
      <w:rPr>
        <w:sz w:val="16"/>
        <w:szCs w:val="16"/>
      </w:rPr>
      <w:fldChar w:fldCharType="begin"/>
    </w:r>
    <w:r w:rsidRPr="00DA5723">
      <w:rPr>
        <w:sz w:val="16"/>
        <w:szCs w:val="16"/>
      </w:rPr>
      <w:instrText xml:space="preserve"> FILENAME  \p  \* MERGEFORMAT </w:instrText>
    </w:r>
    <w:r w:rsidRPr="00DA5723">
      <w:rPr>
        <w:sz w:val="16"/>
        <w:szCs w:val="16"/>
      </w:rPr>
      <w:fldChar w:fldCharType="separate"/>
    </w:r>
    <w:r w:rsidR="00F85C89">
      <w:rPr>
        <w:noProof/>
        <w:sz w:val="16"/>
        <w:szCs w:val="16"/>
      </w:rPr>
      <w:t>P:\general\board\minutes\2025\011425 Final Minutes.docx</w:t>
    </w:r>
    <w:r w:rsidRPr="00DA5723">
      <w:rPr>
        <w:sz w:val="16"/>
        <w:szCs w:val="16"/>
      </w:rPr>
      <w:fldChar w:fldCharType="end"/>
    </w:r>
    <w:r w:rsidRPr="00DA5723">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A1F5" w14:textId="77777777" w:rsidR="004826B6" w:rsidRDefault="0048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EC4A" w14:textId="77777777" w:rsidR="00AB2BF6" w:rsidRDefault="00AB2BF6" w:rsidP="00DC3B9D">
      <w:pPr>
        <w:spacing w:line="240" w:lineRule="auto"/>
      </w:pPr>
      <w:r>
        <w:separator/>
      </w:r>
    </w:p>
  </w:footnote>
  <w:footnote w:type="continuationSeparator" w:id="0">
    <w:p w14:paraId="5B1CBAAD" w14:textId="77777777" w:rsidR="00AB2BF6" w:rsidRDefault="00AB2BF6" w:rsidP="00DC3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FE07" w14:textId="77777777" w:rsidR="004826B6" w:rsidRDefault="0048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161728"/>
      <w:docPartObj>
        <w:docPartGallery w:val="Watermarks"/>
        <w:docPartUnique/>
      </w:docPartObj>
    </w:sdtPr>
    <w:sdtEndPr/>
    <w:sdtContent>
      <w:p w14:paraId="40BCE31F" w14:textId="63A18327" w:rsidR="00247542" w:rsidRDefault="002874D5">
        <w:pPr>
          <w:pStyle w:val="Header"/>
        </w:pPr>
        <w:r>
          <w:rPr>
            <w:noProof/>
          </w:rPr>
          <w:pict w14:anchorId="1C462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F253" w14:textId="77777777" w:rsidR="004826B6" w:rsidRDefault="0048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F49"/>
    <w:multiLevelType w:val="hybridMultilevel"/>
    <w:tmpl w:val="E51AA3D8"/>
    <w:lvl w:ilvl="0" w:tplc="0409000F">
      <w:start w:val="1"/>
      <w:numFmt w:val="decimal"/>
      <w:lvlText w:val="%1."/>
      <w:lvlJc w:val="left"/>
      <w:pPr>
        <w:ind w:left="6622" w:hanging="360"/>
      </w:pPr>
    </w:lvl>
    <w:lvl w:ilvl="1" w:tplc="04090019" w:tentative="1">
      <w:start w:val="1"/>
      <w:numFmt w:val="lowerLetter"/>
      <w:lvlText w:val="%2."/>
      <w:lvlJc w:val="left"/>
      <w:pPr>
        <w:ind w:left="7342" w:hanging="360"/>
      </w:pPr>
    </w:lvl>
    <w:lvl w:ilvl="2" w:tplc="0409001B" w:tentative="1">
      <w:start w:val="1"/>
      <w:numFmt w:val="lowerRoman"/>
      <w:lvlText w:val="%3."/>
      <w:lvlJc w:val="right"/>
      <w:pPr>
        <w:ind w:left="8062" w:hanging="180"/>
      </w:pPr>
    </w:lvl>
    <w:lvl w:ilvl="3" w:tplc="0409000F" w:tentative="1">
      <w:start w:val="1"/>
      <w:numFmt w:val="decimal"/>
      <w:lvlText w:val="%4."/>
      <w:lvlJc w:val="left"/>
      <w:pPr>
        <w:ind w:left="8782" w:hanging="360"/>
      </w:pPr>
    </w:lvl>
    <w:lvl w:ilvl="4" w:tplc="04090019" w:tentative="1">
      <w:start w:val="1"/>
      <w:numFmt w:val="lowerLetter"/>
      <w:lvlText w:val="%5."/>
      <w:lvlJc w:val="left"/>
      <w:pPr>
        <w:ind w:left="9502" w:hanging="360"/>
      </w:pPr>
    </w:lvl>
    <w:lvl w:ilvl="5" w:tplc="0409001B" w:tentative="1">
      <w:start w:val="1"/>
      <w:numFmt w:val="lowerRoman"/>
      <w:lvlText w:val="%6."/>
      <w:lvlJc w:val="right"/>
      <w:pPr>
        <w:ind w:left="10222" w:hanging="180"/>
      </w:pPr>
    </w:lvl>
    <w:lvl w:ilvl="6" w:tplc="0409000F" w:tentative="1">
      <w:start w:val="1"/>
      <w:numFmt w:val="decimal"/>
      <w:lvlText w:val="%7."/>
      <w:lvlJc w:val="left"/>
      <w:pPr>
        <w:ind w:left="10942" w:hanging="360"/>
      </w:pPr>
    </w:lvl>
    <w:lvl w:ilvl="7" w:tplc="04090019" w:tentative="1">
      <w:start w:val="1"/>
      <w:numFmt w:val="lowerLetter"/>
      <w:lvlText w:val="%8."/>
      <w:lvlJc w:val="left"/>
      <w:pPr>
        <w:ind w:left="11662" w:hanging="360"/>
      </w:pPr>
    </w:lvl>
    <w:lvl w:ilvl="8" w:tplc="0409001B" w:tentative="1">
      <w:start w:val="1"/>
      <w:numFmt w:val="lowerRoman"/>
      <w:lvlText w:val="%9."/>
      <w:lvlJc w:val="right"/>
      <w:pPr>
        <w:ind w:left="12382" w:hanging="180"/>
      </w:pPr>
    </w:lvl>
  </w:abstractNum>
  <w:abstractNum w:abstractNumId="1" w15:restartNumberingAfterBreak="0">
    <w:nsid w:val="13316CE7"/>
    <w:multiLevelType w:val="hybridMultilevel"/>
    <w:tmpl w:val="6958E6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121DF6"/>
    <w:multiLevelType w:val="multilevel"/>
    <w:tmpl w:val="F838353E"/>
    <w:lvl w:ilvl="0">
      <w:start w:val="1"/>
      <w:numFmt w:val="decimal"/>
      <w:suff w:val="nothing"/>
      <w:lvlText w:val="Article %1"/>
      <w:lvlJc w:val="left"/>
      <w:pPr>
        <w:tabs>
          <w:tab w:val="num" w:pos="1440"/>
        </w:tabs>
        <w:ind w:left="72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72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72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320"/>
        </w:tabs>
        <w:ind w:left="72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72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880"/>
        </w:tabs>
        <w:ind w:left="72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3600"/>
        </w:tabs>
        <w:ind w:left="72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4320"/>
        </w:tabs>
        <w:ind w:left="72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CF4ABB"/>
    <w:multiLevelType w:val="multilevel"/>
    <w:tmpl w:val="05561220"/>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Arial" w:hAnsi="Arial" w:cs="Arial"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502402E"/>
    <w:multiLevelType w:val="hybridMultilevel"/>
    <w:tmpl w:val="96CCA87C"/>
    <w:lvl w:ilvl="0" w:tplc="DBA4B4B8">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37D5E"/>
    <w:multiLevelType w:val="multilevel"/>
    <w:tmpl w:val="1FC0615E"/>
    <w:lvl w:ilvl="0">
      <w:start w:val="1"/>
      <w:numFmt w:val="upperRoman"/>
      <w:lvlRestart w:val="0"/>
      <w:pStyle w:val="ArticleL1"/>
      <w:suff w:val="nothing"/>
      <w:lvlText w:val="ARTICLE %1"/>
      <w:lvlJc w:val="left"/>
      <w:pPr>
        <w:tabs>
          <w:tab w:val="num" w:pos="720"/>
        </w:tabs>
        <w:ind w:left="0" w:firstLine="0"/>
      </w:pPr>
      <w:rPr>
        <w:rFonts w:ascii="Arial" w:hAnsi="Arial" w:cs="Arial"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nothing"/>
      <w:lvlText w:val="Section %1.%2."/>
      <w:lvlJc w:val="left"/>
      <w:pPr>
        <w:tabs>
          <w:tab w:val="num" w:pos="4140"/>
        </w:tabs>
        <w:ind w:left="2700" w:firstLine="720"/>
      </w:pPr>
      <w:rPr>
        <w:rFonts w:ascii="Arial" w:hAnsi="Arial" w:cs="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288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025960"/>
    <w:multiLevelType w:val="multilevel"/>
    <w:tmpl w:val="54D60C90"/>
    <w:lvl w:ilvl="0">
      <w:start w:val="1"/>
      <w:numFmt w:val="upperRoman"/>
      <w:lvlText w:val="%1."/>
      <w:lvlJc w:val="right"/>
      <w:pPr>
        <w:ind w:left="0" w:firstLine="288"/>
      </w:pPr>
      <w:rPr>
        <w:rFonts w:ascii="Arial" w:hAnsi="Arial" w:hint="default"/>
        <w:b/>
        <w:i/>
        <w:strike w:val="0"/>
        <w:dstrike w:val="0"/>
        <w:vanish w:val="0"/>
        <w:color w:val="auto"/>
        <w:sz w:val="22"/>
        <w:vertAlign w:val="baseline"/>
      </w:rPr>
    </w:lvl>
    <w:lvl w:ilvl="1">
      <w:start w:val="1"/>
      <w:numFmt w:val="upperLetter"/>
      <w:lvlText w:val="%2."/>
      <w:lvlJc w:val="left"/>
      <w:pPr>
        <w:ind w:left="630" w:firstLine="0"/>
      </w:pPr>
      <w:rPr>
        <w:rFonts w:ascii="Arial" w:hAnsi="Arial" w:hint="default"/>
        <w:b/>
        <w:i w:val="0"/>
        <w:caps w:val="0"/>
        <w:strike w:val="0"/>
        <w:dstrike w:val="0"/>
        <w:vanish w:val="0"/>
        <w:color w:val="auto"/>
        <w:sz w:val="22"/>
        <w:vertAlign w:val="baseline"/>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65715D2A"/>
    <w:multiLevelType w:val="hybridMultilevel"/>
    <w:tmpl w:val="C0F631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9B5F0D"/>
    <w:multiLevelType w:val="multilevel"/>
    <w:tmpl w:val="1486C702"/>
    <w:lvl w:ilvl="0">
      <w:start w:val="1"/>
      <w:numFmt w:val="upperRoman"/>
      <w:pStyle w:val="Heading1"/>
      <w:lvlText w:val="%1."/>
      <w:lvlJc w:val="right"/>
      <w:pPr>
        <w:ind w:left="0" w:firstLine="288"/>
      </w:pPr>
      <w:rPr>
        <w:rFonts w:ascii="Arial" w:hAnsi="Arial" w:hint="default"/>
        <w:b/>
        <w:i w:val="0"/>
        <w:strike w:val="0"/>
        <w:dstrike w:val="0"/>
        <w:vanish w:val="0"/>
        <w:color w:val="auto"/>
        <w:sz w:val="22"/>
        <w:vertAlign w:val="baseline"/>
      </w:rPr>
    </w:lvl>
    <w:lvl w:ilvl="1">
      <w:start w:val="1"/>
      <w:numFmt w:val="upperLetter"/>
      <w:pStyle w:val="Heading2"/>
      <w:lvlText w:val="%2."/>
      <w:lvlJc w:val="left"/>
      <w:pPr>
        <w:ind w:left="810" w:firstLine="0"/>
      </w:pPr>
      <w:rPr>
        <w:rFonts w:ascii="Arial" w:hAnsi="Arial" w:hint="default"/>
        <w:b/>
        <w:i w:val="0"/>
        <w:caps w:val="0"/>
        <w:strike w:val="0"/>
        <w:dstrike w:val="0"/>
        <w:vanish w:val="0"/>
        <w:color w:val="auto"/>
        <w:sz w:val="22"/>
        <w:vertAlign w:val="baseline"/>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657080059">
    <w:abstractNumId w:val="8"/>
  </w:num>
  <w:num w:numId="2" w16cid:durableId="825974956">
    <w:abstractNumId w:val="3"/>
  </w:num>
  <w:num w:numId="3" w16cid:durableId="1399747991">
    <w:abstractNumId w:val="8"/>
    <w:lvlOverride w:ilvl="0">
      <w:startOverride w:val="1"/>
    </w:lvlOverride>
    <w:lvlOverride w:ilvl="1">
      <w:startOverride w:val="5"/>
    </w:lvlOverride>
  </w:num>
  <w:num w:numId="4" w16cid:durableId="161744683">
    <w:abstractNumId w:val="8"/>
    <w:lvlOverride w:ilvl="0">
      <w:startOverride w:val="1"/>
    </w:lvlOverride>
    <w:lvlOverride w:ilvl="1">
      <w:startOverride w:val="6"/>
    </w:lvlOverride>
  </w:num>
  <w:num w:numId="5" w16cid:durableId="651494884">
    <w:abstractNumId w:val="2"/>
  </w:num>
  <w:num w:numId="6" w16cid:durableId="390885503">
    <w:abstractNumId w:val="5"/>
  </w:num>
  <w:num w:numId="7" w16cid:durableId="2143765096">
    <w:abstractNumId w:val="7"/>
  </w:num>
  <w:num w:numId="8" w16cid:durableId="2141682315">
    <w:abstractNumId w:val="1"/>
  </w:num>
  <w:num w:numId="9" w16cid:durableId="1240169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834111">
    <w:abstractNumId w:val="8"/>
    <w:lvlOverride w:ilvl="0">
      <w:startOverride w:val="1"/>
    </w:lvlOverride>
    <w:lvlOverride w:ilvl="1">
      <w:startOverride w:val="28"/>
    </w:lvlOverride>
  </w:num>
  <w:num w:numId="11" w16cid:durableId="147330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204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735772">
    <w:abstractNumId w:val="6"/>
  </w:num>
  <w:num w:numId="14" w16cid:durableId="2063013712">
    <w:abstractNumId w:val="0"/>
  </w:num>
  <w:num w:numId="15" w16cid:durableId="622077220">
    <w:abstractNumId w:val="8"/>
  </w:num>
  <w:num w:numId="16" w16cid:durableId="288047938">
    <w:abstractNumId w:val="4"/>
  </w:num>
  <w:num w:numId="17" w16cid:durableId="708142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691024">
    <w:abstractNumId w:val="8"/>
  </w:num>
  <w:num w:numId="19" w16cid:durableId="1850945008">
    <w:abstractNumId w:val="8"/>
  </w:num>
  <w:num w:numId="20" w16cid:durableId="428045267">
    <w:abstractNumId w:val="8"/>
  </w:num>
  <w:num w:numId="21" w16cid:durableId="1679498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222370">
    <w:abstractNumId w:val="8"/>
  </w:num>
  <w:num w:numId="23" w16cid:durableId="558251213">
    <w:abstractNumId w:val="8"/>
  </w:num>
  <w:num w:numId="24" w16cid:durableId="776754859">
    <w:abstractNumId w:val="8"/>
  </w:num>
  <w:num w:numId="25" w16cid:durableId="1478961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463034">
    <w:abstractNumId w:val="8"/>
  </w:num>
  <w:num w:numId="27" w16cid:durableId="525369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407697">
    <w:abstractNumId w:val="8"/>
  </w:num>
  <w:num w:numId="29" w16cid:durableId="1484542480">
    <w:abstractNumId w:val="8"/>
  </w:num>
  <w:num w:numId="30" w16cid:durableId="1488939676">
    <w:abstractNumId w:val="8"/>
  </w:num>
  <w:num w:numId="31" w16cid:durableId="1015692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846069">
    <w:abstractNumId w:val="8"/>
  </w:num>
  <w:num w:numId="33" w16cid:durableId="1956591343">
    <w:abstractNumId w:val="8"/>
    <w:lvlOverride w:ilvl="0">
      <w:startOverride w:val="1"/>
    </w:lvlOverride>
    <w:lvlOverride w:ilvl="1">
      <w:startOverride w:val="16"/>
    </w:lvlOverride>
  </w:num>
  <w:num w:numId="34" w16cid:durableId="1243444887">
    <w:abstractNumId w:val="8"/>
  </w:num>
  <w:num w:numId="35" w16cid:durableId="1622149097">
    <w:abstractNumId w:val="8"/>
  </w:num>
  <w:num w:numId="36" w16cid:durableId="15868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3355497">
    <w:abstractNumId w:val="8"/>
    <w:lvlOverride w:ilvl="0">
      <w:startOverride w:val="1"/>
    </w:lvlOverride>
    <w:lvlOverride w:ilvl="1">
      <w:startOverride w:val="25"/>
    </w:lvlOverride>
  </w:num>
  <w:num w:numId="38" w16cid:durableId="187068957">
    <w:abstractNumId w:val="5"/>
    <w:lvlOverride w:ilvl="0">
      <w:startOverride w:val="1"/>
    </w:lvlOverride>
    <w:lvlOverride w:ilvl="1">
      <w:startOverride w:val="1"/>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B4"/>
    <w:rsid w:val="000002C1"/>
    <w:rsid w:val="0000422D"/>
    <w:rsid w:val="00005124"/>
    <w:rsid w:val="000057CE"/>
    <w:rsid w:val="00005F61"/>
    <w:rsid w:val="00006B50"/>
    <w:rsid w:val="000119A7"/>
    <w:rsid w:val="000126B6"/>
    <w:rsid w:val="00012F58"/>
    <w:rsid w:val="00015C72"/>
    <w:rsid w:val="00016CF3"/>
    <w:rsid w:val="00016FD1"/>
    <w:rsid w:val="0002385E"/>
    <w:rsid w:val="00023DBD"/>
    <w:rsid w:val="00030AD7"/>
    <w:rsid w:val="00033001"/>
    <w:rsid w:val="00035DBC"/>
    <w:rsid w:val="00036722"/>
    <w:rsid w:val="000420CD"/>
    <w:rsid w:val="00042A59"/>
    <w:rsid w:val="000432BB"/>
    <w:rsid w:val="00047B13"/>
    <w:rsid w:val="000505B9"/>
    <w:rsid w:val="000509C3"/>
    <w:rsid w:val="00050D8D"/>
    <w:rsid w:val="000519CC"/>
    <w:rsid w:val="00052FFF"/>
    <w:rsid w:val="00054226"/>
    <w:rsid w:val="00054F54"/>
    <w:rsid w:val="00056E5C"/>
    <w:rsid w:val="00057985"/>
    <w:rsid w:val="000626CC"/>
    <w:rsid w:val="00062F90"/>
    <w:rsid w:val="0006577E"/>
    <w:rsid w:val="00066DDC"/>
    <w:rsid w:val="000671BB"/>
    <w:rsid w:val="000711F1"/>
    <w:rsid w:val="00072769"/>
    <w:rsid w:val="00074607"/>
    <w:rsid w:val="00075D3E"/>
    <w:rsid w:val="00077250"/>
    <w:rsid w:val="000800E0"/>
    <w:rsid w:val="00081B3F"/>
    <w:rsid w:val="00082F29"/>
    <w:rsid w:val="000860A0"/>
    <w:rsid w:val="00087EC4"/>
    <w:rsid w:val="00090D75"/>
    <w:rsid w:val="000918E1"/>
    <w:rsid w:val="0009271F"/>
    <w:rsid w:val="00094EE7"/>
    <w:rsid w:val="000B1588"/>
    <w:rsid w:val="000B327E"/>
    <w:rsid w:val="000B46AB"/>
    <w:rsid w:val="000C225E"/>
    <w:rsid w:val="000C2C13"/>
    <w:rsid w:val="000C362E"/>
    <w:rsid w:val="000C4C6A"/>
    <w:rsid w:val="000C60A7"/>
    <w:rsid w:val="000C71C2"/>
    <w:rsid w:val="000C74FB"/>
    <w:rsid w:val="000D53F6"/>
    <w:rsid w:val="000D665A"/>
    <w:rsid w:val="000E0ADA"/>
    <w:rsid w:val="000E2951"/>
    <w:rsid w:val="000E3CE1"/>
    <w:rsid w:val="000F058B"/>
    <w:rsid w:val="000F603E"/>
    <w:rsid w:val="000F6BB9"/>
    <w:rsid w:val="00105395"/>
    <w:rsid w:val="00112540"/>
    <w:rsid w:val="00114867"/>
    <w:rsid w:val="00114907"/>
    <w:rsid w:val="00120975"/>
    <w:rsid w:val="00121C07"/>
    <w:rsid w:val="00124A2D"/>
    <w:rsid w:val="00125704"/>
    <w:rsid w:val="0012642A"/>
    <w:rsid w:val="00127904"/>
    <w:rsid w:val="00130B50"/>
    <w:rsid w:val="00131195"/>
    <w:rsid w:val="001315ED"/>
    <w:rsid w:val="00133CFD"/>
    <w:rsid w:val="00134529"/>
    <w:rsid w:val="001351BB"/>
    <w:rsid w:val="001417C5"/>
    <w:rsid w:val="001419F0"/>
    <w:rsid w:val="00145123"/>
    <w:rsid w:val="001469BA"/>
    <w:rsid w:val="00146EAD"/>
    <w:rsid w:val="001479BE"/>
    <w:rsid w:val="00150381"/>
    <w:rsid w:val="001545D8"/>
    <w:rsid w:val="001549AB"/>
    <w:rsid w:val="00156058"/>
    <w:rsid w:val="001566A1"/>
    <w:rsid w:val="00156D95"/>
    <w:rsid w:val="001575A8"/>
    <w:rsid w:val="00161809"/>
    <w:rsid w:val="0016296E"/>
    <w:rsid w:val="00162B20"/>
    <w:rsid w:val="001668F7"/>
    <w:rsid w:val="001670BF"/>
    <w:rsid w:val="00172F80"/>
    <w:rsid w:val="0017457D"/>
    <w:rsid w:val="00177299"/>
    <w:rsid w:val="00181340"/>
    <w:rsid w:val="00181857"/>
    <w:rsid w:val="00181F13"/>
    <w:rsid w:val="001822DC"/>
    <w:rsid w:val="00185E1C"/>
    <w:rsid w:val="00186988"/>
    <w:rsid w:val="00190D4C"/>
    <w:rsid w:val="001914EC"/>
    <w:rsid w:val="001916DB"/>
    <w:rsid w:val="00191767"/>
    <w:rsid w:val="00192B24"/>
    <w:rsid w:val="001A1004"/>
    <w:rsid w:val="001A2E25"/>
    <w:rsid w:val="001A4B73"/>
    <w:rsid w:val="001A56DA"/>
    <w:rsid w:val="001A5C9E"/>
    <w:rsid w:val="001A734E"/>
    <w:rsid w:val="001B12A4"/>
    <w:rsid w:val="001B3550"/>
    <w:rsid w:val="001B45E5"/>
    <w:rsid w:val="001B53CC"/>
    <w:rsid w:val="001C1903"/>
    <w:rsid w:val="001C2723"/>
    <w:rsid w:val="001C64E0"/>
    <w:rsid w:val="001C75AF"/>
    <w:rsid w:val="001C7B4A"/>
    <w:rsid w:val="001D45AB"/>
    <w:rsid w:val="001E0582"/>
    <w:rsid w:val="001E1E32"/>
    <w:rsid w:val="001E5E9C"/>
    <w:rsid w:val="001E5EAD"/>
    <w:rsid w:val="001E7273"/>
    <w:rsid w:val="001E7C52"/>
    <w:rsid w:val="001E7EA9"/>
    <w:rsid w:val="001F4495"/>
    <w:rsid w:val="001F58CB"/>
    <w:rsid w:val="001F6827"/>
    <w:rsid w:val="001F6889"/>
    <w:rsid w:val="001F6D5F"/>
    <w:rsid w:val="0020230B"/>
    <w:rsid w:val="0020572C"/>
    <w:rsid w:val="00207FDA"/>
    <w:rsid w:val="002121F9"/>
    <w:rsid w:val="002140C3"/>
    <w:rsid w:val="00214F76"/>
    <w:rsid w:val="002159D5"/>
    <w:rsid w:val="00221130"/>
    <w:rsid w:val="00224DBF"/>
    <w:rsid w:val="00225292"/>
    <w:rsid w:val="00225995"/>
    <w:rsid w:val="002259DF"/>
    <w:rsid w:val="00227BFB"/>
    <w:rsid w:val="00231096"/>
    <w:rsid w:val="00233FF2"/>
    <w:rsid w:val="0023470B"/>
    <w:rsid w:val="002353CE"/>
    <w:rsid w:val="0023699F"/>
    <w:rsid w:val="00236FBD"/>
    <w:rsid w:val="00247542"/>
    <w:rsid w:val="002477EB"/>
    <w:rsid w:val="0025009F"/>
    <w:rsid w:val="0025062D"/>
    <w:rsid w:val="00252AEF"/>
    <w:rsid w:val="00257C03"/>
    <w:rsid w:val="00263E68"/>
    <w:rsid w:val="0027182A"/>
    <w:rsid w:val="00271ED4"/>
    <w:rsid w:val="0027459F"/>
    <w:rsid w:val="00274A7D"/>
    <w:rsid w:val="00274DA6"/>
    <w:rsid w:val="00280037"/>
    <w:rsid w:val="00280DAE"/>
    <w:rsid w:val="00281483"/>
    <w:rsid w:val="00282EC8"/>
    <w:rsid w:val="002830E0"/>
    <w:rsid w:val="00285B80"/>
    <w:rsid w:val="0028608B"/>
    <w:rsid w:val="002864EF"/>
    <w:rsid w:val="0028726C"/>
    <w:rsid w:val="002874D5"/>
    <w:rsid w:val="0028793B"/>
    <w:rsid w:val="00292FC6"/>
    <w:rsid w:val="002932E6"/>
    <w:rsid w:val="00293F8E"/>
    <w:rsid w:val="0029798B"/>
    <w:rsid w:val="002A05CD"/>
    <w:rsid w:val="002A0F1F"/>
    <w:rsid w:val="002A1E49"/>
    <w:rsid w:val="002A2D51"/>
    <w:rsid w:val="002A64D6"/>
    <w:rsid w:val="002A7CE9"/>
    <w:rsid w:val="002B4ABA"/>
    <w:rsid w:val="002B5B93"/>
    <w:rsid w:val="002B6816"/>
    <w:rsid w:val="002C1AAD"/>
    <w:rsid w:val="002C3C4C"/>
    <w:rsid w:val="002C5756"/>
    <w:rsid w:val="002D1201"/>
    <w:rsid w:val="002D1694"/>
    <w:rsid w:val="002D32BC"/>
    <w:rsid w:val="002D3A85"/>
    <w:rsid w:val="002D67FD"/>
    <w:rsid w:val="002D6C6B"/>
    <w:rsid w:val="002D6CE7"/>
    <w:rsid w:val="002D7235"/>
    <w:rsid w:val="002E0F17"/>
    <w:rsid w:val="002E1A2F"/>
    <w:rsid w:val="002E1F3E"/>
    <w:rsid w:val="002E5880"/>
    <w:rsid w:val="002E5920"/>
    <w:rsid w:val="002E78C0"/>
    <w:rsid w:val="002F2753"/>
    <w:rsid w:val="002F3A49"/>
    <w:rsid w:val="002F4750"/>
    <w:rsid w:val="002F51F4"/>
    <w:rsid w:val="002F6537"/>
    <w:rsid w:val="00300EAF"/>
    <w:rsid w:val="00302A8B"/>
    <w:rsid w:val="00305AA9"/>
    <w:rsid w:val="00306022"/>
    <w:rsid w:val="0031146D"/>
    <w:rsid w:val="00311592"/>
    <w:rsid w:val="00311824"/>
    <w:rsid w:val="00312BE4"/>
    <w:rsid w:val="00315799"/>
    <w:rsid w:val="00316C22"/>
    <w:rsid w:val="00317131"/>
    <w:rsid w:val="003200F2"/>
    <w:rsid w:val="00320BE9"/>
    <w:rsid w:val="0032125B"/>
    <w:rsid w:val="003244FD"/>
    <w:rsid w:val="00324E2B"/>
    <w:rsid w:val="003266A3"/>
    <w:rsid w:val="003271D3"/>
    <w:rsid w:val="00327205"/>
    <w:rsid w:val="00327B4A"/>
    <w:rsid w:val="003342E0"/>
    <w:rsid w:val="00334DA7"/>
    <w:rsid w:val="00336E8B"/>
    <w:rsid w:val="0034338C"/>
    <w:rsid w:val="003455EC"/>
    <w:rsid w:val="003467AB"/>
    <w:rsid w:val="003520F1"/>
    <w:rsid w:val="00353E3D"/>
    <w:rsid w:val="00355D2C"/>
    <w:rsid w:val="003567F4"/>
    <w:rsid w:val="0036059F"/>
    <w:rsid w:val="00361E39"/>
    <w:rsid w:val="00361EA7"/>
    <w:rsid w:val="003633E0"/>
    <w:rsid w:val="003655F7"/>
    <w:rsid w:val="003658D8"/>
    <w:rsid w:val="00367076"/>
    <w:rsid w:val="00376A28"/>
    <w:rsid w:val="00377D13"/>
    <w:rsid w:val="00380558"/>
    <w:rsid w:val="0038064F"/>
    <w:rsid w:val="00380AFB"/>
    <w:rsid w:val="00382493"/>
    <w:rsid w:val="003860F1"/>
    <w:rsid w:val="00395950"/>
    <w:rsid w:val="003A1DED"/>
    <w:rsid w:val="003A6556"/>
    <w:rsid w:val="003A6843"/>
    <w:rsid w:val="003A7704"/>
    <w:rsid w:val="003B31F9"/>
    <w:rsid w:val="003B4671"/>
    <w:rsid w:val="003C4CC8"/>
    <w:rsid w:val="003C4EDD"/>
    <w:rsid w:val="003C5A36"/>
    <w:rsid w:val="003C6AFA"/>
    <w:rsid w:val="003C6B77"/>
    <w:rsid w:val="003D051D"/>
    <w:rsid w:val="003D1361"/>
    <w:rsid w:val="003D2B7B"/>
    <w:rsid w:val="003D4F15"/>
    <w:rsid w:val="003D7EFB"/>
    <w:rsid w:val="003E08CD"/>
    <w:rsid w:val="003E08DE"/>
    <w:rsid w:val="003E46E0"/>
    <w:rsid w:val="003E5407"/>
    <w:rsid w:val="003E58D9"/>
    <w:rsid w:val="003E62DF"/>
    <w:rsid w:val="003E6AEA"/>
    <w:rsid w:val="003E6E6D"/>
    <w:rsid w:val="003F2174"/>
    <w:rsid w:val="003F4736"/>
    <w:rsid w:val="003F6DB5"/>
    <w:rsid w:val="004008C1"/>
    <w:rsid w:val="00402118"/>
    <w:rsid w:val="00402EC9"/>
    <w:rsid w:val="00406A63"/>
    <w:rsid w:val="00411758"/>
    <w:rsid w:val="00411924"/>
    <w:rsid w:val="004126B4"/>
    <w:rsid w:val="00413B67"/>
    <w:rsid w:val="0042026E"/>
    <w:rsid w:val="004218CC"/>
    <w:rsid w:val="00421F0F"/>
    <w:rsid w:val="00422C74"/>
    <w:rsid w:val="004240BF"/>
    <w:rsid w:val="00424D01"/>
    <w:rsid w:val="00427249"/>
    <w:rsid w:val="00435F6B"/>
    <w:rsid w:val="0043660D"/>
    <w:rsid w:val="00437A6C"/>
    <w:rsid w:val="00437E0D"/>
    <w:rsid w:val="00443770"/>
    <w:rsid w:val="00446755"/>
    <w:rsid w:val="00446DEB"/>
    <w:rsid w:val="00451D5B"/>
    <w:rsid w:val="00452370"/>
    <w:rsid w:val="00457ADC"/>
    <w:rsid w:val="0046197B"/>
    <w:rsid w:val="00462610"/>
    <w:rsid w:val="00472A43"/>
    <w:rsid w:val="0047454E"/>
    <w:rsid w:val="00474A6D"/>
    <w:rsid w:val="00476455"/>
    <w:rsid w:val="00476C41"/>
    <w:rsid w:val="004801DB"/>
    <w:rsid w:val="00481711"/>
    <w:rsid w:val="004826B6"/>
    <w:rsid w:val="00484DC4"/>
    <w:rsid w:val="00485635"/>
    <w:rsid w:val="00491473"/>
    <w:rsid w:val="0049338B"/>
    <w:rsid w:val="0049537B"/>
    <w:rsid w:val="00496100"/>
    <w:rsid w:val="004969AF"/>
    <w:rsid w:val="004A0854"/>
    <w:rsid w:val="004A3FB7"/>
    <w:rsid w:val="004A5C5B"/>
    <w:rsid w:val="004B09F7"/>
    <w:rsid w:val="004B1A06"/>
    <w:rsid w:val="004B2C76"/>
    <w:rsid w:val="004B340B"/>
    <w:rsid w:val="004B475E"/>
    <w:rsid w:val="004B6182"/>
    <w:rsid w:val="004C05E1"/>
    <w:rsid w:val="004C1E54"/>
    <w:rsid w:val="004C2EE1"/>
    <w:rsid w:val="004C46DF"/>
    <w:rsid w:val="004C4CD3"/>
    <w:rsid w:val="004C4FD5"/>
    <w:rsid w:val="004C7EC4"/>
    <w:rsid w:val="004D05FA"/>
    <w:rsid w:val="004D0611"/>
    <w:rsid w:val="004D185A"/>
    <w:rsid w:val="004D1E9C"/>
    <w:rsid w:val="004D73F6"/>
    <w:rsid w:val="004D7CFE"/>
    <w:rsid w:val="004E0968"/>
    <w:rsid w:val="004E3AAD"/>
    <w:rsid w:val="004E3D38"/>
    <w:rsid w:val="004E4A18"/>
    <w:rsid w:val="004E71FB"/>
    <w:rsid w:val="004E7E21"/>
    <w:rsid w:val="004F1D10"/>
    <w:rsid w:val="004F2074"/>
    <w:rsid w:val="004F3204"/>
    <w:rsid w:val="004F40E9"/>
    <w:rsid w:val="004F48B8"/>
    <w:rsid w:val="004F4A15"/>
    <w:rsid w:val="004F75E6"/>
    <w:rsid w:val="0050262E"/>
    <w:rsid w:val="005045CD"/>
    <w:rsid w:val="00505A59"/>
    <w:rsid w:val="00507AD9"/>
    <w:rsid w:val="00511D3C"/>
    <w:rsid w:val="00514753"/>
    <w:rsid w:val="00514C22"/>
    <w:rsid w:val="0051750D"/>
    <w:rsid w:val="00524CFD"/>
    <w:rsid w:val="00525CA0"/>
    <w:rsid w:val="0053166D"/>
    <w:rsid w:val="00534835"/>
    <w:rsid w:val="005349BE"/>
    <w:rsid w:val="00534F18"/>
    <w:rsid w:val="005371A1"/>
    <w:rsid w:val="0054005E"/>
    <w:rsid w:val="0054055F"/>
    <w:rsid w:val="00540B2C"/>
    <w:rsid w:val="00540CED"/>
    <w:rsid w:val="00545947"/>
    <w:rsid w:val="00546885"/>
    <w:rsid w:val="005501E9"/>
    <w:rsid w:val="005507C9"/>
    <w:rsid w:val="0055223B"/>
    <w:rsid w:val="00552F3A"/>
    <w:rsid w:val="00554342"/>
    <w:rsid w:val="005544CD"/>
    <w:rsid w:val="0055466E"/>
    <w:rsid w:val="0055647C"/>
    <w:rsid w:val="00557F97"/>
    <w:rsid w:val="005603B8"/>
    <w:rsid w:val="005624DC"/>
    <w:rsid w:val="0056315A"/>
    <w:rsid w:val="005631D2"/>
    <w:rsid w:val="005635B0"/>
    <w:rsid w:val="00563EB1"/>
    <w:rsid w:val="00564A53"/>
    <w:rsid w:val="00565505"/>
    <w:rsid w:val="005673D8"/>
    <w:rsid w:val="005725DD"/>
    <w:rsid w:val="00572F21"/>
    <w:rsid w:val="00575F52"/>
    <w:rsid w:val="005766EF"/>
    <w:rsid w:val="00580F07"/>
    <w:rsid w:val="0058154B"/>
    <w:rsid w:val="00584175"/>
    <w:rsid w:val="00591718"/>
    <w:rsid w:val="005920FB"/>
    <w:rsid w:val="005925D9"/>
    <w:rsid w:val="005935C6"/>
    <w:rsid w:val="00597256"/>
    <w:rsid w:val="0059792F"/>
    <w:rsid w:val="005A3832"/>
    <w:rsid w:val="005A3FA9"/>
    <w:rsid w:val="005A434D"/>
    <w:rsid w:val="005A58A9"/>
    <w:rsid w:val="005A79D5"/>
    <w:rsid w:val="005B548A"/>
    <w:rsid w:val="005B5A73"/>
    <w:rsid w:val="005B7DA6"/>
    <w:rsid w:val="005C13E3"/>
    <w:rsid w:val="005C3741"/>
    <w:rsid w:val="005C3EB5"/>
    <w:rsid w:val="005C5E0B"/>
    <w:rsid w:val="005C6BFE"/>
    <w:rsid w:val="005D3ED0"/>
    <w:rsid w:val="005D49A7"/>
    <w:rsid w:val="005D5AEA"/>
    <w:rsid w:val="005E1926"/>
    <w:rsid w:val="005F3432"/>
    <w:rsid w:val="005F4CC5"/>
    <w:rsid w:val="005F5748"/>
    <w:rsid w:val="0060201F"/>
    <w:rsid w:val="00602FE0"/>
    <w:rsid w:val="00603638"/>
    <w:rsid w:val="00603EBF"/>
    <w:rsid w:val="0060444C"/>
    <w:rsid w:val="006064AE"/>
    <w:rsid w:val="00606A50"/>
    <w:rsid w:val="006072CC"/>
    <w:rsid w:val="00610944"/>
    <w:rsid w:val="00611001"/>
    <w:rsid w:val="00611DDA"/>
    <w:rsid w:val="006123A5"/>
    <w:rsid w:val="006133C3"/>
    <w:rsid w:val="006178C6"/>
    <w:rsid w:val="00621272"/>
    <w:rsid w:val="00621EFC"/>
    <w:rsid w:val="006237F1"/>
    <w:rsid w:val="00624275"/>
    <w:rsid w:val="006269D9"/>
    <w:rsid w:val="006274A9"/>
    <w:rsid w:val="00637FA8"/>
    <w:rsid w:val="00640896"/>
    <w:rsid w:val="00640909"/>
    <w:rsid w:val="00640BAE"/>
    <w:rsid w:val="0064623B"/>
    <w:rsid w:val="00647A16"/>
    <w:rsid w:val="006510AE"/>
    <w:rsid w:val="00655AB1"/>
    <w:rsid w:val="0065607A"/>
    <w:rsid w:val="0066428A"/>
    <w:rsid w:val="00664EE0"/>
    <w:rsid w:val="0066583B"/>
    <w:rsid w:val="0066607E"/>
    <w:rsid w:val="00673923"/>
    <w:rsid w:val="00674264"/>
    <w:rsid w:val="00675561"/>
    <w:rsid w:val="00675E60"/>
    <w:rsid w:val="0068296D"/>
    <w:rsid w:val="0068397F"/>
    <w:rsid w:val="006856DD"/>
    <w:rsid w:val="006871C7"/>
    <w:rsid w:val="00695578"/>
    <w:rsid w:val="00697B24"/>
    <w:rsid w:val="006A1011"/>
    <w:rsid w:val="006A51E6"/>
    <w:rsid w:val="006A7CAA"/>
    <w:rsid w:val="006C4164"/>
    <w:rsid w:val="006D1AB5"/>
    <w:rsid w:val="006D1C8C"/>
    <w:rsid w:val="006D2D93"/>
    <w:rsid w:val="006D4EE9"/>
    <w:rsid w:val="006D5905"/>
    <w:rsid w:val="006D7502"/>
    <w:rsid w:val="006E03A8"/>
    <w:rsid w:val="006E0D2B"/>
    <w:rsid w:val="006E13C2"/>
    <w:rsid w:val="006E160B"/>
    <w:rsid w:val="006E5965"/>
    <w:rsid w:val="006E7C25"/>
    <w:rsid w:val="006F01C8"/>
    <w:rsid w:val="006F0BCF"/>
    <w:rsid w:val="006F109C"/>
    <w:rsid w:val="006F3FA9"/>
    <w:rsid w:val="006F4BF6"/>
    <w:rsid w:val="006F5E16"/>
    <w:rsid w:val="006F6230"/>
    <w:rsid w:val="006F6EE4"/>
    <w:rsid w:val="006F75BA"/>
    <w:rsid w:val="006F7CD1"/>
    <w:rsid w:val="00700AF7"/>
    <w:rsid w:val="007012D9"/>
    <w:rsid w:val="007016B7"/>
    <w:rsid w:val="00701825"/>
    <w:rsid w:val="00705361"/>
    <w:rsid w:val="00710E9E"/>
    <w:rsid w:val="00711B39"/>
    <w:rsid w:val="00713085"/>
    <w:rsid w:val="007158C3"/>
    <w:rsid w:val="0071765D"/>
    <w:rsid w:val="0072236B"/>
    <w:rsid w:val="00723B27"/>
    <w:rsid w:val="00725462"/>
    <w:rsid w:val="00727DD5"/>
    <w:rsid w:val="00730050"/>
    <w:rsid w:val="007333FD"/>
    <w:rsid w:val="0073531D"/>
    <w:rsid w:val="00736404"/>
    <w:rsid w:val="0074380B"/>
    <w:rsid w:val="007507EE"/>
    <w:rsid w:val="00750E67"/>
    <w:rsid w:val="00752687"/>
    <w:rsid w:val="00762320"/>
    <w:rsid w:val="00762FCD"/>
    <w:rsid w:val="00763537"/>
    <w:rsid w:val="007638C3"/>
    <w:rsid w:val="00764723"/>
    <w:rsid w:val="00766D6F"/>
    <w:rsid w:val="0077067F"/>
    <w:rsid w:val="0077320C"/>
    <w:rsid w:val="00776383"/>
    <w:rsid w:val="00776EE2"/>
    <w:rsid w:val="007777EE"/>
    <w:rsid w:val="007806E2"/>
    <w:rsid w:val="00783606"/>
    <w:rsid w:val="0079142D"/>
    <w:rsid w:val="00791877"/>
    <w:rsid w:val="007A3AC6"/>
    <w:rsid w:val="007A4EDA"/>
    <w:rsid w:val="007A63F5"/>
    <w:rsid w:val="007A641C"/>
    <w:rsid w:val="007A70E6"/>
    <w:rsid w:val="007A796E"/>
    <w:rsid w:val="007B04F7"/>
    <w:rsid w:val="007B21CC"/>
    <w:rsid w:val="007B27D3"/>
    <w:rsid w:val="007B6833"/>
    <w:rsid w:val="007B7D0A"/>
    <w:rsid w:val="007C0DF0"/>
    <w:rsid w:val="007C16D0"/>
    <w:rsid w:val="007C2EC6"/>
    <w:rsid w:val="007C2EEF"/>
    <w:rsid w:val="007C6161"/>
    <w:rsid w:val="007C6BC2"/>
    <w:rsid w:val="007C7400"/>
    <w:rsid w:val="007C7737"/>
    <w:rsid w:val="007D075F"/>
    <w:rsid w:val="007D17B0"/>
    <w:rsid w:val="007D20D5"/>
    <w:rsid w:val="007D2455"/>
    <w:rsid w:val="007D5673"/>
    <w:rsid w:val="007D7D82"/>
    <w:rsid w:val="007E60A1"/>
    <w:rsid w:val="007E65F9"/>
    <w:rsid w:val="007F377D"/>
    <w:rsid w:val="007F7520"/>
    <w:rsid w:val="00804E5C"/>
    <w:rsid w:val="00805CD2"/>
    <w:rsid w:val="00805DB5"/>
    <w:rsid w:val="00805E9B"/>
    <w:rsid w:val="00806F7B"/>
    <w:rsid w:val="00810625"/>
    <w:rsid w:val="0081086D"/>
    <w:rsid w:val="008108D4"/>
    <w:rsid w:val="00816679"/>
    <w:rsid w:val="008170AD"/>
    <w:rsid w:val="00821203"/>
    <w:rsid w:val="00821324"/>
    <w:rsid w:val="00821BA1"/>
    <w:rsid w:val="008226B4"/>
    <w:rsid w:val="00830DC6"/>
    <w:rsid w:val="00833C81"/>
    <w:rsid w:val="00833D66"/>
    <w:rsid w:val="0083435F"/>
    <w:rsid w:val="0084386C"/>
    <w:rsid w:val="008456A0"/>
    <w:rsid w:val="00846C6A"/>
    <w:rsid w:val="00850E82"/>
    <w:rsid w:val="0085459F"/>
    <w:rsid w:val="00854860"/>
    <w:rsid w:val="00854F91"/>
    <w:rsid w:val="00860A67"/>
    <w:rsid w:val="00862590"/>
    <w:rsid w:val="00864962"/>
    <w:rsid w:val="00864DCC"/>
    <w:rsid w:val="008739BC"/>
    <w:rsid w:val="00874990"/>
    <w:rsid w:val="008750BC"/>
    <w:rsid w:val="00875947"/>
    <w:rsid w:val="00875D9F"/>
    <w:rsid w:val="00876863"/>
    <w:rsid w:val="00876989"/>
    <w:rsid w:val="00880B7B"/>
    <w:rsid w:val="008812BD"/>
    <w:rsid w:val="0088337A"/>
    <w:rsid w:val="0088546B"/>
    <w:rsid w:val="008854FA"/>
    <w:rsid w:val="00886ACB"/>
    <w:rsid w:val="0089051D"/>
    <w:rsid w:val="00897617"/>
    <w:rsid w:val="008A4982"/>
    <w:rsid w:val="008A6FC7"/>
    <w:rsid w:val="008A7908"/>
    <w:rsid w:val="008B2230"/>
    <w:rsid w:val="008B51EB"/>
    <w:rsid w:val="008B51EF"/>
    <w:rsid w:val="008C1359"/>
    <w:rsid w:val="008C20F1"/>
    <w:rsid w:val="008C2F7E"/>
    <w:rsid w:val="008C4A7C"/>
    <w:rsid w:val="008C5325"/>
    <w:rsid w:val="008C7445"/>
    <w:rsid w:val="008C7E5A"/>
    <w:rsid w:val="008D0E16"/>
    <w:rsid w:val="008D1EE3"/>
    <w:rsid w:val="008D5A5E"/>
    <w:rsid w:val="008E142C"/>
    <w:rsid w:val="008E3278"/>
    <w:rsid w:val="008E46AC"/>
    <w:rsid w:val="008E46C0"/>
    <w:rsid w:val="008E51A3"/>
    <w:rsid w:val="008E5CB1"/>
    <w:rsid w:val="008E7618"/>
    <w:rsid w:val="008E7A90"/>
    <w:rsid w:val="008F18C9"/>
    <w:rsid w:val="008F1F5E"/>
    <w:rsid w:val="008F21E6"/>
    <w:rsid w:val="008F312C"/>
    <w:rsid w:val="008F3EF9"/>
    <w:rsid w:val="008F601B"/>
    <w:rsid w:val="009045F2"/>
    <w:rsid w:val="00905A06"/>
    <w:rsid w:val="00906995"/>
    <w:rsid w:val="00907BBD"/>
    <w:rsid w:val="00913FCF"/>
    <w:rsid w:val="0091598C"/>
    <w:rsid w:val="009165B4"/>
    <w:rsid w:val="009216C7"/>
    <w:rsid w:val="00925712"/>
    <w:rsid w:val="009258AC"/>
    <w:rsid w:val="00925CC5"/>
    <w:rsid w:val="00925F7D"/>
    <w:rsid w:val="00927EC4"/>
    <w:rsid w:val="00930324"/>
    <w:rsid w:val="00930A08"/>
    <w:rsid w:val="0093235D"/>
    <w:rsid w:val="00933002"/>
    <w:rsid w:val="00933839"/>
    <w:rsid w:val="00933BDA"/>
    <w:rsid w:val="00934594"/>
    <w:rsid w:val="00934B95"/>
    <w:rsid w:val="00935438"/>
    <w:rsid w:val="0093565B"/>
    <w:rsid w:val="00935F79"/>
    <w:rsid w:val="009403B2"/>
    <w:rsid w:val="00941BE3"/>
    <w:rsid w:val="00944266"/>
    <w:rsid w:val="00945B2E"/>
    <w:rsid w:val="00951DC4"/>
    <w:rsid w:val="009527F7"/>
    <w:rsid w:val="009530BE"/>
    <w:rsid w:val="0095728F"/>
    <w:rsid w:val="00960721"/>
    <w:rsid w:val="0096143D"/>
    <w:rsid w:val="00962BC8"/>
    <w:rsid w:val="00962ECC"/>
    <w:rsid w:val="00962F51"/>
    <w:rsid w:val="00963F52"/>
    <w:rsid w:val="0096655B"/>
    <w:rsid w:val="00972E8A"/>
    <w:rsid w:val="00973B6E"/>
    <w:rsid w:val="00980413"/>
    <w:rsid w:val="0098092E"/>
    <w:rsid w:val="00980A6C"/>
    <w:rsid w:val="00982C48"/>
    <w:rsid w:val="009831D1"/>
    <w:rsid w:val="00984089"/>
    <w:rsid w:val="00984EFC"/>
    <w:rsid w:val="0098684B"/>
    <w:rsid w:val="009910FA"/>
    <w:rsid w:val="0099136D"/>
    <w:rsid w:val="0099471A"/>
    <w:rsid w:val="00995965"/>
    <w:rsid w:val="009963CE"/>
    <w:rsid w:val="00996E55"/>
    <w:rsid w:val="009A2647"/>
    <w:rsid w:val="009A2BAC"/>
    <w:rsid w:val="009A7747"/>
    <w:rsid w:val="009B1787"/>
    <w:rsid w:val="009B335E"/>
    <w:rsid w:val="009B46DD"/>
    <w:rsid w:val="009B7DDA"/>
    <w:rsid w:val="009C4A1D"/>
    <w:rsid w:val="009C4DC0"/>
    <w:rsid w:val="009D0037"/>
    <w:rsid w:val="009D0F3F"/>
    <w:rsid w:val="009E0349"/>
    <w:rsid w:val="009E2526"/>
    <w:rsid w:val="009E3752"/>
    <w:rsid w:val="009E512F"/>
    <w:rsid w:val="009E7215"/>
    <w:rsid w:val="009E7DB6"/>
    <w:rsid w:val="009F147E"/>
    <w:rsid w:val="009F2DEF"/>
    <w:rsid w:val="009F366A"/>
    <w:rsid w:val="009F4220"/>
    <w:rsid w:val="009F4579"/>
    <w:rsid w:val="009F6DF8"/>
    <w:rsid w:val="00A0030F"/>
    <w:rsid w:val="00A0080E"/>
    <w:rsid w:val="00A02B14"/>
    <w:rsid w:val="00A03A48"/>
    <w:rsid w:val="00A046AD"/>
    <w:rsid w:val="00A05D28"/>
    <w:rsid w:val="00A066C4"/>
    <w:rsid w:val="00A07A31"/>
    <w:rsid w:val="00A10D1D"/>
    <w:rsid w:val="00A15248"/>
    <w:rsid w:val="00A15289"/>
    <w:rsid w:val="00A16F3B"/>
    <w:rsid w:val="00A211F0"/>
    <w:rsid w:val="00A23621"/>
    <w:rsid w:val="00A25F36"/>
    <w:rsid w:val="00A26F2E"/>
    <w:rsid w:val="00A272D4"/>
    <w:rsid w:val="00A31F57"/>
    <w:rsid w:val="00A32522"/>
    <w:rsid w:val="00A34A15"/>
    <w:rsid w:val="00A35982"/>
    <w:rsid w:val="00A40B1E"/>
    <w:rsid w:val="00A41CE3"/>
    <w:rsid w:val="00A42E80"/>
    <w:rsid w:val="00A43900"/>
    <w:rsid w:val="00A439C4"/>
    <w:rsid w:val="00A44B77"/>
    <w:rsid w:val="00A4515F"/>
    <w:rsid w:val="00A463F5"/>
    <w:rsid w:val="00A46DE7"/>
    <w:rsid w:val="00A50C55"/>
    <w:rsid w:val="00A511EF"/>
    <w:rsid w:val="00A51B6B"/>
    <w:rsid w:val="00A5292F"/>
    <w:rsid w:val="00A52AED"/>
    <w:rsid w:val="00A52D6D"/>
    <w:rsid w:val="00A541ED"/>
    <w:rsid w:val="00A54592"/>
    <w:rsid w:val="00A553AC"/>
    <w:rsid w:val="00A55FA5"/>
    <w:rsid w:val="00A56C84"/>
    <w:rsid w:val="00A57906"/>
    <w:rsid w:val="00A57CBD"/>
    <w:rsid w:val="00A57F7D"/>
    <w:rsid w:val="00A6156D"/>
    <w:rsid w:val="00A64025"/>
    <w:rsid w:val="00A64AE8"/>
    <w:rsid w:val="00A663E0"/>
    <w:rsid w:val="00A67BFC"/>
    <w:rsid w:val="00A71066"/>
    <w:rsid w:val="00A7119A"/>
    <w:rsid w:val="00A719D9"/>
    <w:rsid w:val="00A7336C"/>
    <w:rsid w:val="00A74882"/>
    <w:rsid w:val="00A76F38"/>
    <w:rsid w:val="00A771C5"/>
    <w:rsid w:val="00A77C39"/>
    <w:rsid w:val="00A8063E"/>
    <w:rsid w:val="00A81C13"/>
    <w:rsid w:val="00A85EAF"/>
    <w:rsid w:val="00A90E31"/>
    <w:rsid w:val="00A92E24"/>
    <w:rsid w:val="00A93085"/>
    <w:rsid w:val="00A95A91"/>
    <w:rsid w:val="00A9613D"/>
    <w:rsid w:val="00A96315"/>
    <w:rsid w:val="00A96C42"/>
    <w:rsid w:val="00A97434"/>
    <w:rsid w:val="00A97746"/>
    <w:rsid w:val="00A978E4"/>
    <w:rsid w:val="00AA149C"/>
    <w:rsid w:val="00AA198E"/>
    <w:rsid w:val="00AA275E"/>
    <w:rsid w:val="00AA283A"/>
    <w:rsid w:val="00AA33D3"/>
    <w:rsid w:val="00AA4C09"/>
    <w:rsid w:val="00AA57D0"/>
    <w:rsid w:val="00AA783A"/>
    <w:rsid w:val="00AB0B1F"/>
    <w:rsid w:val="00AB2BF6"/>
    <w:rsid w:val="00AB52BC"/>
    <w:rsid w:val="00AC1D78"/>
    <w:rsid w:val="00AC2659"/>
    <w:rsid w:val="00AC4CA2"/>
    <w:rsid w:val="00AC5663"/>
    <w:rsid w:val="00AC7E88"/>
    <w:rsid w:val="00AD068C"/>
    <w:rsid w:val="00AD0710"/>
    <w:rsid w:val="00AD279C"/>
    <w:rsid w:val="00AD32A1"/>
    <w:rsid w:val="00AD5730"/>
    <w:rsid w:val="00AE02D7"/>
    <w:rsid w:val="00AE31BF"/>
    <w:rsid w:val="00AE3C32"/>
    <w:rsid w:val="00AE4CE5"/>
    <w:rsid w:val="00AF0E30"/>
    <w:rsid w:val="00AF136C"/>
    <w:rsid w:val="00AF29A8"/>
    <w:rsid w:val="00AF5204"/>
    <w:rsid w:val="00AF6301"/>
    <w:rsid w:val="00AF6BDC"/>
    <w:rsid w:val="00B0075E"/>
    <w:rsid w:val="00B007AC"/>
    <w:rsid w:val="00B01987"/>
    <w:rsid w:val="00B0340D"/>
    <w:rsid w:val="00B04DC8"/>
    <w:rsid w:val="00B05AD0"/>
    <w:rsid w:val="00B12035"/>
    <w:rsid w:val="00B20655"/>
    <w:rsid w:val="00B21FAE"/>
    <w:rsid w:val="00B237A5"/>
    <w:rsid w:val="00B23C45"/>
    <w:rsid w:val="00B23CDD"/>
    <w:rsid w:val="00B25328"/>
    <w:rsid w:val="00B26376"/>
    <w:rsid w:val="00B26C03"/>
    <w:rsid w:val="00B26DD1"/>
    <w:rsid w:val="00B26DEA"/>
    <w:rsid w:val="00B27515"/>
    <w:rsid w:val="00B276B8"/>
    <w:rsid w:val="00B31935"/>
    <w:rsid w:val="00B3540E"/>
    <w:rsid w:val="00B377F8"/>
    <w:rsid w:val="00B41273"/>
    <w:rsid w:val="00B41D80"/>
    <w:rsid w:val="00B42382"/>
    <w:rsid w:val="00B42E2B"/>
    <w:rsid w:val="00B43C34"/>
    <w:rsid w:val="00B44791"/>
    <w:rsid w:val="00B4602D"/>
    <w:rsid w:val="00B47106"/>
    <w:rsid w:val="00B51BD3"/>
    <w:rsid w:val="00B52B60"/>
    <w:rsid w:val="00B52C1A"/>
    <w:rsid w:val="00B52FE4"/>
    <w:rsid w:val="00B577B7"/>
    <w:rsid w:val="00B62A88"/>
    <w:rsid w:val="00B65A29"/>
    <w:rsid w:val="00B65DA2"/>
    <w:rsid w:val="00B66AE3"/>
    <w:rsid w:val="00B67DC0"/>
    <w:rsid w:val="00B71E29"/>
    <w:rsid w:val="00B72575"/>
    <w:rsid w:val="00B7393D"/>
    <w:rsid w:val="00B862C7"/>
    <w:rsid w:val="00B8723B"/>
    <w:rsid w:val="00B87341"/>
    <w:rsid w:val="00B87A78"/>
    <w:rsid w:val="00B90D35"/>
    <w:rsid w:val="00B91D82"/>
    <w:rsid w:val="00B93C18"/>
    <w:rsid w:val="00BA1414"/>
    <w:rsid w:val="00BA1FB1"/>
    <w:rsid w:val="00BA72C4"/>
    <w:rsid w:val="00BA7639"/>
    <w:rsid w:val="00BB0E96"/>
    <w:rsid w:val="00BB2236"/>
    <w:rsid w:val="00BB34B9"/>
    <w:rsid w:val="00BB4DFA"/>
    <w:rsid w:val="00BB54E3"/>
    <w:rsid w:val="00BB5DA7"/>
    <w:rsid w:val="00BB6149"/>
    <w:rsid w:val="00BB7B2A"/>
    <w:rsid w:val="00BC2AD4"/>
    <w:rsid w:val="00BC4DBD"/>
    <w:rsid w:val="00BC56A9"/>
    <w:rsid w:val="00BC608A"/>
    <w:rsid w:val="00BC753B"/>
    <w:rsid w:val="00BD0898"/>
    <w:rsid w:val="00BD0EF8"/>
    <w:rsid w:val="00BD1338"/>
    <w:rsid w:val="00BD3ADB"/>
    <w:rsid w:val="00BD4AF2"/>
    <w:rsid w:val="00BD6294"/>
    <w:rsid w:val="00BD676D"/>
    <w:rsid w:val="00BD784F"/>
    <w:rsid w:val="00BE02D6"/>
    <w:rsid w:val="00BE1ECE"/>
    <w:rsid w:val="00BE66E2"/>
    <w:rsid w:val="00BE6C13"/>
    <w:rsid w:val="00BE7EA4"/>
    <w:rsid w:val="00BF04FF"/>
    <w:rsid w:val="00BF0F99"/>
    <w:rsid w:val="00BF1E73"/>
    <w:rsid w:val="00BF2AD3"/>
    <w:rsid w:val="00BF4919"/>
    <w:rsid w:val="00BF66A8"/>
    <w:rsid w:val="00BF72FA"/>
    <w:rsid w:val="00BF730D"/>
    <w:rsid w:val="00C0301A"/>
    <w:rsid w:val="00C06D6E"/>
    <w:rsid w:val="00C11185"/>
    <w:rsid w:val="00C134B7"/>
    <w:rsid w:val="00C15F00"/>
    <w:rsid w:val="00C17158"/>
    <w:rsid w:val="00C20825"/>
    <w:rsid w:val="00C20E7E"/>
    <w:rsid w:val="00C2173B"/>
    <w:rsid w:val="00C31A8A"/>
    <w:rsid w:val="00C32A1A"/>
    <w:rsid w:val="00C40FF4"/>
    <w:rsid w:val="00C41295"/>
    <w:rsid w:val="00C44A7A"/>
    <w:rsid w:val="00C46B4D"/>
    <w:rsid w:val="00C46C2E"/>
    <w:rsid w:val="00C51463"/>
    <w:rsid w:val="00C51E31"/>
    <w:rsid w:val="00C51E3A"/>
    <w:rsid w:val="00C5415D"/>
    <w:rsid w:val="00C55634"/>
    <w:rsid w:val="00C575A3"/>
    <w:rsid w:val="00C57702"/>
    <w:rsid w:val="00C57A6D"/>
    <w:rsid w:val="00C61673"/>
    <w:rsid w:val="00C61A9D"/>
    <w:rsid w:val="00C64144"/>
    <w:rsid w:val="00C64E5B"/>
    <w:rsid w:val="00C66424"/>
    <w:rsid w:val="00C70938"/>
    <w:rsid w:val="00C71409"/>
    <w:rsid w:val="00C83923"/>
    <w:rsid w:val="00C87AAD"/>
    <w:rsid w:val="00C92F8A"/>
    <w:rsid w:val="00CA6420"/>
    <w:rsid w:val="00CA6DF9"/>
    <w:rsid w:val="00CB5503"/>
    <w:rsid w:val="00CB5F72"/>
    <w:rsid w:val="00CB62A2"/>
    <w:rsid w:val="00CB7F69"/>
    <w:rsid w:val="00CC16DB"/>
    <w:rsid w:val="00CC398A"/>
    <w:rsid w:val="00CC6814"/>
    <w:rsid w:val="00CD0ADD"/>
    <w:rsid w:val="00CD163A"/>
    <w:rsid w:val="00CD213E"/>
    <w:rsid w:val="00CD2501"/>
    <w:rsid w:val="00CD499A"/>
    <w:rsid w:val="00CD75B4"/>
    <w:rsid w:val="00CE24F5"/>
    <w:rsid w:val="00CE376A"/>
    <w:rsid w:val="00CE4CAB"/>
    <w:rsid w:val="00CE4CC9"/>
    <w:rsid w:val="00CE51F7"/>
    <w:rsid w:val="00CE5DCD"/>
    <w:rsid w:val="00CE63D4"/>
    <w:rsid w:val="00CE7155"/>
    <w:rsid w:val="00CF3286"/>
    <w:rsid w:val="00D01AC1"/>
    <w:rsid w:val="00D02750"/>
    <w:rsid w:val="00D03B91"/>
    <w:rsid w:val="00D049F2"/>
    <w:rsid w:val="00D05F97"/>
    <w:rsid w:val="00D07E7A"/>
    <w:rsid w:val="00D10D9C"/>
    <w:rsid w:val="00D1240D"/>
    <w:rsid w:val="00D14248"/>
    <w:rsid w:val="00D14CD1"/>
    <w:rsid w:val="00D14CE1"/>
    <w:rsid w:val="00D15F7B"/>
    <w:rsid w:val="00D16382"/>
    <w:rsid w:val="00D16829"/>
    <w:rsid w:val="00D169CF"/>
    <w:rsid w:val="00D213D2"/>
    <w:rsid w:val="00D21BD4"/>
    <w:rsid w:val="00D228F2"/>
    <w:rsid w:val="00D23694"/>
    <w:rsid w:val="00D24A00"/>
    <w:rsid w:val="00D25779"/>
    <w:rsid w:val="00D25E9E"/>
    <w:rsid w:val="00D329BE"/>
    <w:rsid w:val="00D33221"/>
    <w:rsid w:val="00D332A3"/>
    <w:rsid w:val="00D338AF"/>
    <w:rsid w:val="00D33C7F"/>
    <w:rsid w:val="00D34114"/>
    <w:rsid w:val="00D360D7"/>
    <w:rsid w:val="00D443E6"/>
    <w:rsid w:val="00D478CE"/>
    <w:rsid w:val="00D50B03"/>
    <w:rsid w:val="00D53E25"/>
    <w:rsid w:val="00D54B90"/>
    <w:rsid w:val="00D54F72"/>
    <w:rsid w:val="00D57115"/>
    <w:rsid w:val="00D606C9"/>
    <w:rsid w:val="00D61D15"/>
    <w:rsid w:val="00D62C02"/>
    <w:rsid w:val="00D62E1A"/>
    <w:rsid w:val="00D638C3"/>
    <w:rsid w:val="00D6501A"/>
    <w:rsid w:val="00D65600"/>
    <w:rsid w:val="00D73070"/>
    <w:rsid w:val="00D74127"/>
    <w:rsid w:val="00D80EA0"/>
    <w:rsid w:val="00D82B28"/>
    <w:rsid w:val="00D83A60"/>
    <w:rsid w:val="00D83E4C"/>
    <w:rsid w:val="00D872EC"/>
    <w:rsid w:val="00D94182"/>
    <w:rsid w:val="00D960B2"/>
    <w:rsid w:val="00D961B8"/>
    <w:rsid w:val="00D96786"/>
    <w:rsid w:val="00DA04D3"/>
    <w:rsid w:val="00DA154C"/>
    <w:rsid w:val="00DA1C2B"/>
    <w:rsid w:val="00DA47C0"/>
    <w:rsid w:val="00DA5723"/>
    <w:rsid w:val="00DA68B3"/>
    <w:rsid w:val="00DA7249"/>
    <w:rsid w:val="00DB229A"/>
    <w:rsid w:val="00DB4043"/>
    <w:rsid w:val="00DB570E"/>
    <w:rsid w:val="00DB6793"/>
    <w:rsid w:val="00DB7CBE"/>
    <w:rsid w:val="00DC0832"/>
    <w:rsid w:val="00DC1E94"/>
    <w:rsid w:val="00DC2543"/>
    <w:rsid w:val="00DC3B9D"/>
    <w:rsid w:val="00DC5B75"/>
    <w:rsid w:val="00DC6B73"/>
    <w:rsid w:val="00DC7930"/>
    <w:rsid w:val="00DD17DF"/>
    <w:rsid w:val="00DD18A4"/>
    <w:rsid w:val="00DD1D8E"/>
    <w:rsid w:val="00DD1EB8"/>
    <w:rsid w:val="00DD2BB0"/>
    <w:rsid w:val="00DD43CA"/>
    <w:rsid w:val="00DD64B0"/>
    <w:rsid w:val="00DD6AEB"/>
    <w:rsid w:val="00DE2B6E"/>
    <w:rsid w:val="00DE701E"/>
    <w:rsid w:val="00DF4FCB"/>
    <w:rsid w:val="00E004F0"/>
    <w:rsid w:val="00E00BAA"/>
    <w:rsid w:val="00E00EE2"/>
    <w:rsid w:val="00E01F86"/>
    <w:rsid w:val="00E02F2A"/>
    <w:rsid w:val="00E07DC9"/>
    <w:rsid w:val="00E11D48"/>
    <w:rsid w:val="00E14B56"/>
    <w:rsid w:val="00E14D77"/>
    <w:rsid w:val="00E14EA9"/>
    <w:rsid w:val="00E1688F"/>
    <w:rsid w:val="00E24F23"/>
    <w:rsid w:val="00E26CC8"/>
    <w:rsid w:val="00E2781C"/>
    <w:rsid w:val="00E27F33"/>
    <w:rsid w:val="00E3376C"/>
    <w:rsid w:val="00E338A8"/>
    <w:rsid w:val="00E34639"/>
    <w:rsid w:val="00E36728"/>
    <w:rsid w:val="00E40DEE"/>
    <w:rsid w:val="00E41D82"/>
    <w:rsid w:val="00E428D2"/>
    <w:rsid w:val="00E42F9C"/>
    <w:rsid w:val="00E43E89"/>
    <w:rsid w:val="00E44426"/>
    <w:rsid w:val="00E45C17"/>
    <w:rsid w:val="00E46E73"/>
    <w:rsid w:val="00E47088"/>
    <w:rsid w:val="00E538FE"/>
    <w:rsid w:val="00E5489B"/>
    <w:rsid w:val="00E55E7F"/>
    <w:rsid w:val="00E56723"/>
    <w:rsid w:val="00E56881"/>
    <w:rsid w:val="00E56910"/>
    <w:rsid w:val="00E569B9"/>
    <w:rsid w:val="00E57F92"/>
    <w:rsid w:val="00E6232F"/>
    <w:rsid w:val="00E64C7A"/>
    <w:rsid w:val="00E662B3"/>
    <w:rsid w:val="00E72A20"/>
    <w:rsid w:val="00E733A4"/>
    <w:rsid w:val="00E76A6B"/>
    <w:rsid w:val="00E8364F"/>
    <w:rsid w:val="00E8395D"/>
    <w:rsid w:val="00E8462F"/>
    <w:rsid w:val="00E869E5"/>
    <w:rsid w:val="00E8770A"/>
    <w:rsid w:val="00E94A7C"/>
    <w:rsid w:val="00EA159D"/>
    <w:rsid w:val="00EA1F81"/>
    <w:rsid w:val="00EA23C4"/>
    <w:rsid w:val="00EA23D2"/>
    <w:rsid w:val="00EA4F5C"/>
    <w:rsid w:val="00EA55BD"/>
    <w:rsid w:val="00EA595A"/>
    <w:rsid w:val="00EB6532"/>
    <w:rsid w:val="00EB6793"/>
    <w:rsid w:val="00EB73F3"/>
    <w:rsid w:val="00EC16BA"/>
    <w:rsid w:val="00EC1D61"/>
    <w:rsid w:val="00EC481A"/>
    <w:rsid w:val="00EC4BB4"/>
    <w:rsid w:val="00EC7120"/>
    <w:rsid w:val="00ED05F0"/>
    <w:rsid w:val="00ED093F"/>
    <w:rsid w:val="00ED2D19"/>
    <w:rsid w:val="00ED41E0"/>
    <w:rsid w:val="00ED5162"/>
    <w:rsid w:val="00ED7482"/>
    <w:rsid w:val="00EE0A0C"/>
    <w:rsid w:val="00EE2006"/>
    <w:rsid w:val="00EE3416"/>
    <w:rsid w:val="00EE5376"/>
    <w:rsid w:val="00EE6BBE"/>
    <w:rsid w:val="00EF0D93"/>
    <w:rsid w:val="00EF4A9C"/>
    <w:rsid w:val="00EF53C4"/>
    <w:rsid w:val="00EF64E5"/>
    <w:rsid w:val="00F00620"/>
    <w:rsid w:val="00F10871"/>
    <w:rsid w:val="00F13614"/>
    <w:rsid w:val="00F140E0"/>
    <w:rsid w:val="00F14539"/>
    <w:rsid w:val="00F15673"/>
    <w:rsid w:val="00F2120B"/>
    <w:rsid w:val="00F277C6"/>
    <w:rsid w:val="00F35824"/>
    <w:rsid w:val="00F364FF"/>
    <w:rsid w:val="00F42AB5"/>
    <w:rsid w:val="00F42F68"/>
    <w:rsid w:val="00F43B9E"/>
    <w:rsid w:val="00F46A22"/>
    <w:rsid w:val="00F46DA0"/>
    <w:rsid w:val="00F50329"/>
    <w:rsid w:val="00F5362E"/>
    <w:rsid w:val="00F53E6F"/>
    <w:rsid w:val="00F544C3"/>
    <w:rsid w:val="00F55E1A"/>
    <w:rsid w:val="00F563AA"/>
    <w:rsid w:val="00F57C94"/>
    <w:rsid w:val="00F62F1C"/>
    <w:rsid w:val="00F6560D"/>
    <w:rsid w:val="00F65889"/>
    <w:rsid w:val="00F70BC2"/>
    <w:rsid w:val="00F72E40"/>
    <w:rsid w:val="00F74863"/>
    <w:rsid w:val="00F75EC3"/>
    <w:rsid w:val="00F76459"/>
    <w:rsid w:val="00F77719"/>
    <w:rsid w:val="00F77D1A"/>
    <w:rsid w:val="00F80C04"/>
    <w:rsid w:val="00F83499"/>
    <w:rsid w:val="00F84862"/>
    <w:rsid w:val="00F85C89"/>
    <w:rsid w:val="00F87918"/>
    <w:rsid w:val="00F91771"/>
    <w:rsid w:val="00F91CE4"/>
    <w:rsid w:val="00F938A4"/>
    <w:rsid w:val="00F95748"/>
    <w:rsid w:val="00F9606C"/>
    <w:rsid w:val="00F973BF"/>
    <w:rsid w:val="00FA0E0A"/>
    <w:rsid w:val="00FA1574"/>
    <w:rsid w:val="00FB0CFC"/>
    <w:rsid w:val="00FB109D"/>
    <w:rsid w:val="00FC1AA2"/>
    <w:rsid w:val="00FC4D11"/>
    <w:rsid w:val="00FC5942"/>
    <w:rsid w:val="00FC627F"/>
    <w:rsid w:val="00FD4027"/>
    <w:rsid w:val="00FD4CB9"/>
    <w:rsid w:val="00FD5DD5"/>
    <w:rsid w:val="00FE0341"/>
    <w:rsid w:val="00FE604D"/>
    <w:rsid w:val="00FF3103"/>
    <w:rsid w:val="00FF5E17"/>
    <w:rsid w:val="00FF64FB"/>
    <w:rsid w:val="00FF6945"/>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62A6"/>
  <w15:chartTrackingRefBased/>
  <w15:docId w15:val="{B260F39B-61A8-4EB8-AB95-01C795F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A9"/>
    <w:rPr>
      <w:rFonts w:ascii="Arial" w:hAnsi="Arial"/>
    </w:rPr>
  </w:style>
  <w:style w:type="paragraph" w:styleId="Heading1">
    <w:name w:val="heading 1"/>
    <w:basedOn w:val="Normal"/>
    <w:next w:val="Normal"/>
    <w:link w:val="Heading1Char"/>
    <w:uiPriority w:val="9"/>
    <w:qFormat/>
    <w:rsid w:val="00DC3B9D"/>
    <w:pPr>
      <w:keepNext/>
      <w:keepLines/>
      <w:numPr>
        <w:numId w:val="1"/>
      </w:numPr>
      <w:spacing w:before="240" w:line="480" w:lineRule="auto"/>
      <w:outlineLvl w:val="0"/>
    </w:pPr>
    <w:rPr>
      <w:rFonts w:eastAsiaTheme="majorEastAsia" w:cstheme="majorBidi"/>
      <w:b/>
      <w:i/>
      <w:caps/>
      <w:szCs w:val="32"/>
    </w:rPr>
  </w:style>
  <w:style w:type="paragraph" w:styleId="Heading2">
    <w:name w:val="heading 2"/>
    <w:basedOn w:val="NoSpacing"/>
    <w:next w:val="Normal"/>
    <w:link w:val="Heading2Char"/>
    <w:uiPriority w:val="9"/>
    <w:unhideWhenUsed/>
    <w:qFormat/>
    <w:rsid w:val="00DC3B9D"/>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3B9D"/>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3B9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B9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DC3B9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C3B9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3B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B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Heading">
    <w:name w:val="MinutesHeading"/>
    <w:basedOn w:val="NoSpacing"/>
    <w:link w:val="MinutesHeadingChar"/>
    <w:qFormat/>
    <w:rsid w:val="00CD75B4"/>
    <w:pPr>
      <w:jc w:val="center"/>
    </w:pPr>
    <w:rPr>
      <w:b/>
      <w:caps/>
    </w:rPr>
  </w:style>
  <w:style w:type="paragraph" w:styleId="NoSpacing">
    <w:name w:val="No Spacing"/>
    <w:uiPriority w:val="1"/>
    <w:qFormat/>
    <w:rsid w:val="00CD75B4"/>
    <w:pPr>
      <w:spacing w:line="240" w:lineRule="auto"/>
    </w:pPr>
    <w:rPr>
      <w:rFonts w:ascii="Arial" w:hAnsi="Arial"/>
    </w:rPr>
  </w:style>
  <w:style w:type="character" w:customStyle="1" w:styleId="MinutesHeadingChar">
    <w:name w:val="MinutesHeading Char"/>
    <w:basedOn w:val="DefaultParagraphFont"/>
    <w:link w:val="MinutesHeading"/>
    <w:rsid w:val="00CD75B4"/>
    <w:rPr>
      <w:rFonts w:ascii="Arial" w:hAnsi="Arial"/>
      <w:b/>
      <w:caps/>
    </w:rPr>
  </w:style>
  <w:style w:type="character" w:customStyle="1" w:styleId="Heading1Char">
    <w:name w:val="Heading 1 Char"/>
    <w:basedOn w:val="DefaultParagraphFont"/>
    <w:link w:val="Heading1"/>
    <w:uiPriority w:val="9"/>
    <w:rsid w:val="00DC3B9D"/>
    <w:rPr>
      <w:rFonts w:ascii="Arial" w:eastAsiaTheme="majorEastAsia" w:hAnsi="Arial" w:cstheme="majorBidi"/>
      <w:b/>
      <w:i/>
      <w:caps/>
      <w:szCs w:val="32"/>
    </w:rPr>
  </w:style>
  <w:style w:type="character" w:customStyle="1" w:styleId="Heading2Char">
    <w:name w:val="Heading 2 Char"/>
    <w:basedOn w:val="DefaultParagraphFont"/>
    <w:link w:val="Heading2"/>
    <w:uiPriority w:val="9"/>
    <w:rsid w:val="00DC3B9D"/>
    <w:rPr>
      <w:rFonts w:ascii="Arial" w:eastAsiaTheme="majorEastAsia" w:hAnsi="Arial" w:cstheme="majorBidi"/>
      <w:b/>
      <w:szCs w:val="26"/>
    </w:rPr>
  </w:style>
  <w:style w:type="character" w:customStyle="1" w:styleId="Heading3Char">
    <w:name w:val="Heading 3 Char"/>
    <w:basedOn w:val="DefaultParagraphFont"/>
    <w:link w:val="Heading3"/>
    <w:uiPriority w:val="9"/>
    <w:rsid w:val="00DC3B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3B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3B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C3B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C3B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3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3B9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C3B9D"/>
    <w:pPr>
      <w:tabs>
        <w:tab w:val="center" w:pos="4680"/>
        <w:tab w:val="right" w:pos="9360"/>
      </w:tabs>
      <w:spacing w:line="240" w:lineRule="auto"/>
    </w:pPr>
  </w:style>
  <w:style w:type="character" w:customStyle="1" w:styleId="HeaderChar">
    <w:name w:val="Header Char"/>
    <w:basedOn w:val="DefaultParagraphFont"/>
    <w:link w:val="Header"/>
    <w:uiPriority w:val="99"/>
    <w:rsid w:val="00DC3B9D"/>
    <w:rPr>
      <w:rFonts w:ascii="Arial" w:hAnsi="Arial"/>
    </w:rPr>
  </w:style>
  <w:style w:type="paragraph" w:styleId="Footer">
    <w:name w:val="footer"/>
    <w:basedOn w:val="Normal"/>
    <w:link w:val="FooterChar"/>
    <w:uiPriority w:val="99"/>
    <w:unhideWhenUsed/>
    <w:rsid w:val="00DC3B9D"/>
    <w:pPr>
      <w:tabs>
        <w:tab w:val="center" w:pos="4680"/>
        <w:tab w:val="right" w:pos="9360"/>
      </w:tabs>
      <w:spacing w:line="240" w:lineRule="auto"/>
    </w:pPr>
  </w:style>
  <w:style w:type="character" w:customStyle="1" w:styleId="FooterChar">
    <w:name w:val="Footer Char"/>
    <w:basedOn w:val="DefaultParagraphFont"/>
    <w:link w:val="Footer"/>
    <w:uiPriority w:val="99"/>
    <w:rsid w:val="00DC3B9D"/>
    <w:rPr>
      <w:rFonts w:ascii="Arial" w:hAnsi="Arial"/>
    </w:rPr>
  </w:style>
  <w:style w:type="character" w:styleId="PageNumber">
    <w:name w:val="page number"/>
    <w:basedOn w:val="DefaultParagraphFont"/>
    <w:rsid w:val="00DC3B9D"/>
  </w:style>
  <w:style w:type="paragraph" w:styleId="BodyText">
    <w:name w:val="Body Text"/>
    <w:basedOn w:val="Normal"/>
    <w:link w:val="BodyTextChar"/>
    <w:rsid w:val="00A56C84"/>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56C84"/>
    <w:rPr>
      <w:rFonts w:ascii="Times New Roman" w:eastAsia="Times New Roman" w:hAnsi="Times New Roman" w:cs="Times New Roman"/>
      <w:sz w:val="24"/>
      <w:szCs w:val="20"/>
    </w:rPr>
  </w:style>
  <w:style w:type="paragraph" w:customStyle="1" w:styleId="BylawsL1">
    <w:name w:val="Bylaws_L1"/>
    <w:basedOn w:val="Normal"/>
    <w:next w:val="BodyText"/>
    <w:rsid w:val="00A56C84"/>
    <w:pPr>
      <w:keepNext/>
      <w:keepLines/>
      <w:numPr>
        <w:numId w:val="2"/>
      </w:numPr>
      <w:tabs>
        <w:tab w:val="clear" w:pos="0"/>
        <w:tab w:val="num" w:pos="720"/>
      </w:tabs>
      <w:spacing w:after="240" w:line="240" w:lineRule="auto"/>
      <w:jc w:val="center"/>
      <w:outlineLvl w:val="0"/>
    </w:pPr>
    <w:rPr>
      <w:rFonts w:ascii="Times New Roman" w:eastAsia="Times New Roman" w:hAnsi="Times New Roman" w:cs="Times New Roman"/>
      <w:b/>
      <w:caps/>
      <w:sz w:val="24"/>
      <w:szCs w:val="20"/>
    </w:rPr>
  </w:style>
  <w:style w:type="paragraph" w:customStyle="1" w:styleId="BylawsL2">
    <w:name w:val="Bylaws_L2"/>
    <w:basedOn w:val="BylawsL1"/>
    <w:next w:val="BodyText"/>
    <w:rsid w:val="00A56C84"/>
    <w:pPr>
      <w:keepNext w:val="0"/>
      <w:keepLines w:val="0"/>
      <w:numPr>
        <w:ilvl w:val="1"/>
      </w:numPr>
      <w:tabs>
        <w:tab w:val="num" w:pos="1440"/>
      </w:tabs>
      <w:jc w:val="both"/>
      <w:outlineLvl w:val="1"/>
    </w:pPr>
    <w:rPr>
      <w:b w:val="0"/>
      <w:caps w:val="0"/>
    </w:rPr>
  </w:style>
  <w:style w:type="paragraph" w:customStyle="1" w:styleId="BylawsL3">
    <w:name w:val="Bylaws_L3"/>
    <w:basedOn w:val="BylawsL2"/>
    <w:next w:val="BodyText"/>
    <w:rsid w:val="00A56C84"/>
    <w:pPr>
      <w:numPr>
        <w:ilvl w:val="2"/>
      </w:numPr>
      <w:ind w:left="0" w:firstLine="1440"/>
      <w:outlineLvl w:val="2"/>
    </w:pPr>
  </w:style>
  <w:style w:type="paragraph" w:customStyle="1" w:styleId="BylawsL4">
    <w:name w:val="Bylaws_L4"/>
    <w:basedOn w:val="BylawsL3"/>
    <w:next w:val="BodyText"/>
    <w:rsid w:val="00A56C84"/>
    <w:pPr>
      <w:numPr>
        <w:ilvl w:val="3"/>
      </w:numPr>
      <w:outlineLvl w:val="3"/>
    </w:pPr>
  </w:style>
  <w:style w:type="paragraph" w:customStyle="1" w:styleId="BylawsL5">
    <w:name w:val="Bylaws_L5"/>
    <w:basedOn w:val="BylawsL4"/>
    <w:next w:val="BodyText"/>
    <w:rsid w:val="00A56C84"/>
    <w:pPr>
      <w:numPr>
        <w:ilvl w:val="4"/>
      </w:numPr>
      <w:outlineLvl w:val="4"/>
    </w:pPr>
  </w:style>
  <w:style w:type="paragraph" w:customStyle="1" w:styleId="BylawsL6">
    <w:name w:val="Bylaws_L6"/>
    <w:basedOn w:val="BylawsL5"/>
    <w:next w:val="BodyText"/>
    <w:rsid w:val="00A56C84"/>
    <w:pPr>
      <w:numPr>
        <w:ilvl w:val="5"/>
      </w:numPr>
      <w:outlineLvl w:val="5"/>
    </w:pPr>
  </w:style>
  <w:style w:type="paragraph" w:styleId="Revision">
    <w:name w:val="Revision"/>
    <w:hidden/>
    <w:uiPriority w:val="99"/>
    <w:semiHidden/>
    <w:rsid w:val="00764723"/>
    <w:pPr>
      <w:spacing w:line="240" w:lineRule="auto"/>
    </w:pPr>
    <w:rPr>
      <w:rFonts w:ascii="Arial" w:hAnsi="Arial"/>
    </w:rPr>
  </w:style>
  <w:style w:type="paragraph" w:customStyle="1" w:styleId="Centered">
    <w:name w:val="Centered"/>
    <w:basedOn w:val="Normal"/>
    <w:next w:val="BodyText"/>
    <w:rsid w:val="003E46E0"/>
    <w:pPr>
      <w:spacing w:after="240" w:line="240" w:lineRule="auto"/>
      <w:jc w:val="center"/>
    </w:pPr>
    <w:rPr>
      <w:rFonts w:ascii="Times New Roman" w:eastAsia="Times New Roman" w:hAnsi="Times New Roman" w:cs="Times New Roman"/>
      <w:sz w:val="24"/>
      <w:szCs w:val="20"/>
    </w:rPr>
  </w:style>
  <w:style w:type="paragraph" w:customStyle="1" w:styleId="ArticleL1">
    <w:name w:val="Article_L1"/>
    <w:basedOn w:val="Normal"/>
    <w:next w:val="BodyText"/>
    <w:rsid w:val="003E46E0"/>
    <w:pPr>
      <w:keepNext/>
      <w:keepLines/>
      <w:numPr>
        <w:numId w:val="6"/>
      </w:numPr>
      <w:spacing w:after="240" w:line="240" w:lineRule="auto"/>
      <w:jc w:val="center"/>
      <w:outlineLvl w:val="0"/>
    </w:pPr>
    <w:rPr>
      <w:rFonts w:ascii="Times New Roman" w:eastAsia="Times New Roman" w:hAnsi="Times New Roman" w:cs="Times New Roman"/>
      <w:b/>
      <w:caps/>
      <w:szCs w:val="20"/>
    </w:rPr>
  </w:style>
  <w:style w:type="paragraph" w:customStyle="1" w:styleId="ArticleL2">
    <w:name w:val="Article_L2"/>
    <w:basedOn w:val="ArticleL1"/>
    <w:next w:val="BodyText"/>
    <w:rsid w:val="003E46E0"/>
    <w:pPr>
      <w:keepNext w:val="0"/>
      <w:keepLines w:val="0"/>
      <w:numPr>
        <w:ilvl w:val="1"/>
      </w:numPr>
      <w:jc w:val="both"/>
      <w:outlineLvl w:val="1"/>
    </w:pPr>
    <w:rPr>
      <w:b w:val="0"/>
      <w:caps w:val="0"/>
    </w:rPr>
  </w:style>
  <w:style w:type="paragraph" w:customStyle="1" w:styleId="ArticleL3">
    <w:name w:val="Article_L3"/>
    <w:basedOn w:val="ArticleL2"/>
    <w:next w:val="BodyText"/>
    <w:rsid w:val="003E46E0"/>
    <w:pPr>
      <w:numPr>
        <w:ilvl w:val="2"/>
      </w:numPr>
      <w:outlineLvl w:val="2"/>
    </w:pPr>
  </w:style>
  <w:style w:type="paragraph" w:customStyle="1" w:styleId="ArticleL4">
    <w:name w:val="Article_L4"/>
    <w:basedOn w:val="ArticleL3"/>
    <w:next w:val="BodyText"/>
    <w:rsid w:val="003E46E0"/>
    <w:pPr>
      <w:numPr>
        <w:ilvl w:val="3"/>
      </w:numPr>
      <w:outlineLvl w:val="3"/>
    </w:pPr>
  </w:style>
  <w:style w:type="paragraph" w:customStyle="1" w:styleId="ArticleL5">
    <w:name w:val="Article_L5"/>
    <w:basedOn w:val="ArticleL4"/>
    <w:next w:val="BodyText"/>
    <w:rsid w:val="003E46E0"/>
    <w:pPr>
      <w:numPr>
        <w:ilvl w:val="4"/>
      </w:numPr>
      <w:outlineLvl w:val="4"/>
    </w:pPr>
  </w:style>
  <w:style w:type="paragraph" w:customStyle="1" w:styleId="ArticleL6">
    <w:name w:val="Article_L6"/>
    <w:basedOn w:val="ArticleL5"/>
    <w:next w:val="BodyText"/>
    <w:rsid w:val="003E46E0"/>
    <w:pPr>
      <w:numPr>
        <w:ilvl w:val="5"/>
      </w:numPr>
      <w:outlineLvl w:val="5"/>
    </w:pPr>
  </w:style>
  <w:style w:type="paragraph" w:styleId="ListParagraph">
    <w:name w:val="List Paragraph"/>
    <w:basedOn w:val="Normal"/>
    <w:uiPriority w:val="34"/>
    <w:qFormat/>
    <w:rsid w:val="00462610"/>
    <w:pPr>
      <w:ind w:left="720"/>
      <w:contextualSpacing/>
    </w:pPr>
  </w:style>
  <w:style w:type="paragraph" w:styleId="BalloonText">
    <w:name w:val="Balloon Text"/>
    <w:basedOn w:val="Normal"/>
    <w:link w:val="BalloonTextChar"/>
    <w:uiPriority w:val="99"/>
    <w:semiHidden/>
    <w:unhideWhenUsed/>
    <w:rsid w:val="003342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E0"/>
    <w:rPr>
      <w:rFonts w:ascii="Segoe UI" w:hAnsi="Segoe UI" w:cs="Segoe UI"/>
      <w:sz w:val="18"/>
      <w:szCs w:val="18"/>
    </w:rPr>
  </w:style>
  <w:style w:type="paragraph" w:customStyle="1" w:styleId="Default">
    <w:name w:val="Default"/>
    <w:rsid w:val="00AC1D78"/>
    <w:pPr>
      <w:autoSpaceDE w:val="0"/>
      <w:autoSpaceDN w:val="0"/>
      <w:adjustRightInd w:val="0"/>
      <w:spacing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D5905"/>
    <w:rPr>
      <w:sz w:val="16"/>
      <w:szCs w:val="16"/>
    </w:rPr>
  </w:style>
  <w:style w:type="paragraph" w:styleId="CommentText">
    <w:name w:val="annotation text"/>
    <w:basedOn w:val="Normal"/>
    <w:link w:val="CommentTextChar"/>
    <w:uiPriority w:val="99"/>
    <w:unhideWhenUsed/>
    <w:rsid w:val="006D5905"/>
    <w:pPr>
      <w:spacing w:line="240" w:lineRule="auto"/>
    </w:pPr>
    <w:rPr>
      <w:sz w:val="20"/>
      <w:szCs w:val="20"/>
    </w:rPr>
  </w:style>
  <w:style w:type="character" w:customStyle="1" w:styleId="CommentTextChar">
    <w:name w:val="Comment Text Char"/>
    <w:basedOn w:val="DefaultParagraphFont"/>
    <w:link w:val="CommentText"/>
    <w:uiPriority w:val="99"/>
    <w:rsid w:val="006D59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5905"/>
    <w:rPr>
      <w:b/>
      <w:bCs/>
    </w:rPr>
  </w:style>
  <w:style w:type="character" w:customStyle="1" w:styleId="CommentSubjectChar">
    <w:name w:val="Comment Subject Char"/>
    <w:basedOn w:val="CommentTextChar"/>
    <w:link w:val="CommentSubject"/>
    <w:uiPriority w:val="99"/>
    <w:semiHidden/>
    <w:rsid w:val="006D59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4778">
      <w:bodyDiv w:val="1"/>
      <w:marLeft w:val="0"/>
      <w:marRight w:val="0"/>
      <w:marTop w:val="0"/>
      <w:marBottom w:val="0"/>
      <w:divBdr>
        <w:top w:val="none" w:sz="0" w:space="0" w:color="auto"/>
        <w:left w:val="none" w:sz="0" w:space="0" w:color="auto"/>
        <w:bottom w:val="none" w:sz="0" w:space="0" w:color="auto"/>
        <w:right w:val="none" w:sz="0" w:space="0" w:color="auto"/>
      </w:divBdr>
    </w:div>
    <w:div w:id="1034572763">
      <w:bodyDiv w:val="1"/>
      <w:marLeft w:val="0"/>
      <w:marRight w:val="0"/>
      <w:marTop w:val="0"/>
      <w:marBottom w:val="0"/>
      <w:divBdr>
        <w:top w:val="none" w:sz="0" w:space="0" w:color="auto"/>
        <w:left w:val="none" w:sz="0" w:space="0" w:color="auto"/>
        <w:bottom w:val="none" w:sz="0" w:space="0" w:color="auto"/>
        <w:right w:val="none" w:sz="0" w:space="0" w:color="auto"/>
      </w:divBdr>
    </w:div>
    <w:div w:id="1303343710">
      <w:bodyDiv w:val="1"/>
      <w:marLeft w:val="0"/>
      <w:marRight w:val="0"/>
      <w:marTop w:val="0"/>
      <w:marBottom w:val="0"/>
      <w:divBdr>
        <w:top w:val="none" w:sz="0" w:space="0" w:color="auto"/>
        <w:left w:val="none" w:sz="0" w:space="0" w:color="auto"/>
        <w:bottom w:val="none" w:sz="0" w:space="0" w:color="auto"/>
        <w:right w:val="none" w:sz="0" w:space="0" w:color="auto"/>
      </w:divBdr>
    </w:div>
    <w:div w:id="1402017810">
      <w:bodyDiv w:val="1"/>
      <w:marLeft w:val="0"/>
      <w:marRight w:val="0"/>
      <w:marTop w:val="0"/>
      <w:marBottom w:val="0"/>
      <w:divBdr>
        <w:top w:val="none" w:sz="0" w:space="0" w:color="auto"/>
        <w:left w:val="none" w:sz="0" w:space="0" w:color="auto"/>
        <w:bottom w:val="none" w:sz="0" w:space="0" w:color="auto"/>
        <w:right w:val="none" w:sz="0" w:space="0" w:color="auto"/>
      </w:divBdr>
    </w:div>
    <w:div w:id="1709528424">
      <w:bodyDiv w:val="1"/>
      <w:marLeft w:val="0"/>
      <w:marRight w:val="0"/>
      <w:marTop w:val="0"/>
      <w:marBottom w:val="0"/>
      <w:divBdr>
        <w:top w:val="none" w:sz="0" w:space="0" w:color="auto"/>
        <w:left w:val="none" w:sz="0" w:space="0" w:color="auto"/>
        <w:bottom w:val="none" w:sz="0" w:space="0" w:color="auto"/>
        <w:right w:val="none" w:sz="0" w:space="0" w:color="auto"/>
      </w:divBdr>
    </w:div>
    <w:div w:id="2027057510">
      <w:bodyDiv w:val="1"/>
      <w:marLeft w:val="0"/>
      <w:marRight w:val="0"/>
      <w:marTop w:val="0"/>
      <w:marBottom w:val="0"/>
      <w:divBdr>
        <w:top w:val="none" w:sz="0" w:space="0" w:color="auto"/>
        <w:left w:val="none" w:sz="0" w:space="0" w:color="auto"/>
        <w:bottom w:val="none" w:sz="0" w:space="0" w:color="auto"/>
        <w:right w:val="none" w:sz="0" w:space="0" w:color="auto"/>
      </w:divBdr>
    </w:div>
    <w:div w:id="20478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9316-2F53-4330-9802-F17636E2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SDHDA</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Olson</dc:creator>
  <cp:keywords/>
  <dc:description/>
  <cp:lastModifiedBy>Michele Bodurtha</cp:lastModifiedBy>
  <cp:revision>8</cp:revision>
  <cp:lastPrinted>2025-01-21T15:30:00Z</cp:lastPrinted>
  <dcterms:created xsi:type="dcterms:W3CDTF">2025-01-22T14:15:00Z</dcterms:created>
  <dcterms:modified xsi:type="dcterms:W3CDTF">2025-01-24T13:47:00Z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2024-02-22T15:34:09Z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eef7eb61-0cd0-4295-8bc6-dd0fee4396ed</vt:lpwstr>
  </property>
  <property fmtid="{D5CDD505-2E9C-101B-9397-08002B2CF9AE}" pid="7" name="MSIP_Label_defa4170-0d19-0005-0004-bc88714345d2_ActionId">
    <vt:lpwstr>02219ab8-0414-4af0-9373-5677e20b1760</vt:lpwstr>
  </property>
  <property fmtid="{D5CDD505-2E9C-101B-9397-08002B2CF9AE}" pid="8" name="MSIP_Label_defa4170-0d19-0005-0004-bc88714345d2_ContentBits">
    <vt:lpwstr>0</vt:lpwstr>
  </property>
</Properties>
</file>